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371" w:rsidRPr="00EB4810" w:rsidRDefault="004D4371">
      <w:pPr>
        <w:rPr>
          <w:sz w:val="24"/>
          <w:szCs w:val="24"/>
        </w:rPr>
      </w:pPr>
      <w:r w:rsidRPr="00EB4810">
        <w:rPr>
          <w:noProof/>
          <w:sz w:val="24"/>
          <w:szCs w:val="24"/>
          <w:lang w:eastAsia="en-GB"/>
        </w:rPr>
        <w:drawing>
          <wp:anchor distT="0" distB="0" distL="114300" distR="114300" simplePos="0" relativeHeight="251658240" behindDoc="0" locked="0" layoutInCell="1" allowOverlap="1" wp14:anchorId="5337F6F3" wp14:editId="2509A68A">
            <wp:simplePos x="0" y="0"/>
            <wp:positionH relativeFrom="margin">
              <wp:align>right</wp:align>
            </wp:positionH>
            <wp:positionV relativeFrom="paragraph">
              <wp:posOffset>109855</wp:posOffset>
            </wp:positionV>
            <wp:extent cx="6479540" cy="78460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0-LogoMast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7846060"/>
                    </a:xfrm>
                    <a:prstGeom prst="rect">
                      <a:avLst/>
                    </a:prstGeom>
                  </pic:spPr>
                </pic:pic>
              </a:graphicData>
            </a:graphic>
            <wp14:sizeRelH relativeFrom="page">
              <wp14:pctWidth>0</wp14:pctWidth>
            </wp14:sizeRelH>
            <wp14:sizeRelV relativeFrom="page">
              <wp14:pctHeight>0</wp14:pctHeight>
            </wp14:sizeRelV>
          </wp:anchor>
        </w:drawing>
      </w:r>
    </w:p>
    <w:p w:rsidR="004D4371" w:rsidRPr="00EB4810" w:rsidRDefault="004D4371">
      <w:pPr>
        <w:rPr>
          <w:sz w:val="24"/>
          <w:szCs w:val="24"/>
        </w:rPr>
      </w:pPr>
    </w:p>
    <w:p w:rsidR="004D4371" w:rsidRPr="00EB4810" w:rsidRDefault="0035244A" w:rsidP="003C384C">
      <w:pPr>
        <w:jc w:val="center"/>
        <w:rPr>
          <w:sz w:val="80"/>
          <w:szCs w:val="24"/>
        </w:rPr>
      </w:pPr>
      <w:r>
        <w:rPr>
          <w:sz w:val="80"/>
          <w:szCs w:val="24"/>
        </w:rPr>
        <w:t>Equality</w:t>
      </w:r>
      <w:r w:rsidR="003C384C" w:rsidRPr="00EB4810">
        <w:rPr>
          <w:sz w:val="80"/>
          <w:szCs w:val="24"/>
        </w:rPr>
        <w:t xml:space="preserve"> Policy</w:t>
      </w:r>
      <w:r>
        <w:rPr>
          <w:sz w:val="80"/>
          <w:szCs w:val="24"/>
        </w:rPr>
        <w:t xml:space="preserve"> Statement</w:t>
      </w:r>
    </w:p>
    <w:p w:rsidR="0035244A" w:rsidRPr="00B6765D" w:rsidRDefault="002009AA" w:rsidP="0035244A">
      <w:pPr>
        <w:rPr>
          <w:sz w:val="24"/>
          <w:szCs w:val="24"/>
        </w:rPr>
      </w:pPr>
      <w:r w:rsidRPr="00EB4810">
        <w:rPr>
          <w:sz w:val="24"/>
          <w:szCs w:val="24"/>
        </w:rPr>
        <w:br w:type="page"/>
      </w:r>
      <w:r w:rsidR="0035244A" w:rsidRPr="00B6765D">
        <w:rPr>
          <w:b/>
          <w:sz w:val="24"/>
          <w:szCs w:val="24"/>
          <w:u w:val="single"/>
        </w:rPr>
        <w:lastRenderedPageBreak/>
        <w:t>Introduction</w:t>
      </w:r>
    </w:p>
    <w:p w:rsidR="0035244A" w:rsidRPr="00B6765D" w:rsidRDefault="0035244A" w:rsidP="0035244A">
      <w:pPr>
        <w:rPr>
          <w:sz w:val="24"/>
          <w:szCs w:val="24"/>
        </w:rPr>
      </w:pPr>
    </w:p>
    <w:p w:rsidR="0035244A" w:rsidRPr="00B6765D" w:rsidRDefault="0035244A" w:rsidP="00FB0302">
      <w:pPr>
        <w:spacing w:after="120"/>
        <w:jc w:val="both"/>
        <w:rPr>
          <w:sz w:val="24"/>
          <w:szCs w:val="24"/>
        </w:rPr>
      </w:pPr>
      <w:r w:rsidRPr="00B6765D">
        <w:rPr>
          <w:sz w:val="24"/>
          <w:szCs w:val="24"/>
        </w:rPr>
        <w:t xml:space="preserve"> At </w:t>
      </w:r>
      <w:proofErr w:type="spellStart"/>
      <w:r w:rsidRPr="00B6765D">
        <w:rPr>
          <w:sz w:val="24"/>
          <w:szCs w:val="24"/>
        </w:rPr>
        <w:t>Purbrook</w:t>
      </w:r>
      <w:proofErr w:type="spellEnd"/>
      <w:r w:rsidRPr="00B6765D">
        <w:rPr>
          <w:sz w:val="24"/>
          <w:szCs w:val="24"/>
        </w:rPr>
        <w:t xml:space="preserve"> Infant School we welcome our duties under the Equality Act 2010 as both a provider of education and as an employer. We believe that all pupils and members of staff should have the opportunity to fulfil their potential whatever their background, identity and circumstances. We are committed to creating a community that recognises and celebrates difference within a culture of respect and co-operation. We appreciate that a culture which promotes equality will create a positive environment and a shared sense of belonging for all who work, learn and use the services of our school. </w:t>
      </w:r>
    </w:p>
    <w:p w:rsidR="0035244A" w:rsidRPr="00B6765D" w:rsidRDefault="0035244A" w:rsidP="00B6765D">
      <w:pPr>
        <w:spacing w:after="120"/>
        <w:jc w:val="both"/>
        <w:rPr>
          <w:sz w:val="24"/>
          <w:szCs w:val="24"/>
        </w:rPr>
      </w:pPr>
      <w:r w:rsidRPr="00B6765D">
        <w:rPr>
          <w:sz w:val="24"/>
          <w:szCs w:val="24"/>
        </w:rPr>
        <w:t xml:space="preserve">We recognise that equality will only be achieved by the whole school community working together – our pupils, staff, governors and parents/carers. </w:t>
      </w:r>
    </w:p>
    <w:p w:rsidR="0035244A" w:rsidRPr="00B6765D" w:rsidRDefault="0035244A" w:rsidP="00B6765D">
      <w:pPr>
        <w:spacing w:after="120"/>
        <w:jc w:val="both"/>
        <w:rPr>
          <w:sz w:val="24"/>
          <w:szCs w:val="24"/>
        </w:rPr>
      </w:pPr>
      <w:r w:rsidRPr="00B6765D">
        <w:rPr>
          <w:sz w:val="24"/>
          <w:szCs w:val="24"/>
        </w:rPr>
        <w:t xml:space="preserve">This document outlines the principles which will guide our approach to working with our school community and enabling an open culture. For staff and prospective staff, this policy should be read in conjunction with the school’s Employment Equality Policy. </w:t>
      </w:r>
    </w:p>
    <w:p w:rsidR="0035244A" w:rsidRPr="00B6765D" w:rsidRDefault="0035244A" w:rsidP="0035244A">
      <w:pPr>
        <w:rPr>
          <w:b/>
          <w:sz w:val="24"/>
          <w:szCs w:val="24"/>
        </w:rPr>
      </w:pPr>
      <w:r w:rsidRPr="00B6765D">
        <w:rPr>
          <w:b/>
          <w:sz w:val="24"/>
          <w:szCs w:val="24"/>
        </w:rPr>
        <w:t>National and Legal Context</w:t>
      </w:r>
    </w:p>
    <w:p w:rsidR="0035244A" w:rsidRPr="00B6765D" w:rsidRDefault="0035244A" w:rsidP="00FB0302">
      <w:pPr>
        <w:spacing w:after="120"/>
        <w:jc w:val="both"/>
        <w:rPr>
          <w:sz w:val="24"/>
          <w:szCs w:val="24"/>
        </w:rPr>
      </w:pPr>
      <w:r w:rsidRPr="00B6765D">
        <w:rPr>
          <w:sz w:val="24"/>
          <w:szCs w:val="24"/>
        </w:rPr>
        <w:t xml:space="preserve">We recognise that we have duties under the Equality Act 2010 in relation to the school community to eliminate discrimination, advance equality of opportunity and foster good relations in relation to age (applicable only to staff), disability, race, gender (including issues of transgender), maternity and pregnancy, religion and belief, sexual orientation and marital status (applicable only to staff). </w:t>
      </w:r>
    </w:p>
    <w:p w:rsidR="0035244A" w:rsidRPr="00B6765D" w:rsidRDefault="0035244A" w:rsidP="00FB0302">
      <w:pPr>
        <w:spacing w:after="120"/>
        <w:jc w:val="both"/>
        <w:rPr>
          <w:sz w:val="24"/>
          <w:szCs w:val="24"/>
        </w:rPr>
      </w:pPr>
      <w:r w:rsidRPr="00B6765D">
        <w:rPr>
          <w:sz w:val="24"/>
          <w:szCs w:val="24"/>
        </w:rPr>
        <w:t>We also recognise that we have a duty under the Education &amp; Inspections Act 2006 to promote community cohesion, i.e. developing good relations across different cultures and groups.</w:t>
      </w:r>
    </w:p>
    <w:p w:rsidR="0035244A" w:rsidRPr="00B6765D" w:rsidRDefault="0035244A" w:rsidP="00B6765D">
      <w:pPr>
        <w:spacing w:after="120"/>
        <w:jc w:val="both"/>
        <w:rPr>
          <w:sz w:val="24"/>
          <w:szCs w:val="24"/>
        </w:rPr>
      </w:pPr>
      <w:r w:rsidRPr="00B6765D">
        <w:rPr>
          <w:sz w:val="24"/>
          <w:szCs w:val="24"/>
        </w:rPr>
        <w:t xml:space="preserve"> We also appreciate that these duties reflect the international human rights standards as expressed in the UN Convention on Rights of the Child, the UN Convention on the Rights of People with Disabilities, and the Human Rights Act 1998</w:t>
      </w:r>
    </w:p>
    <w:p w:rsidR="0035244A" w:rsidRPr="00B6765D" w:rsidRDefault="0035244A" w:rsidP="0035244A">
      <w:pPr>
        <w:rPr>
          <w:sz w:val="24"/>
          <w:szCs w:val="24"/>
        </w:rPr>
      </w:pPr>
      <w:r w:rsidRPr="00B6765D">
        <w:rPr>
          <w:b/>
          <w:sz w:val="24"/>
          <w:szCs w:val="24"/>
          <w:u w:val="single"/>
        </w:rPr>
        <w:t>School Context</w:t>
      </w:r>
      <w:r w:rsidRPr="00B6765D">
        <w:rPr>
          <w:sz w:val="24"/>
          <w:szCs w:val="24"/>
        </w:rPr>
        <w:t xml:space="preserve"> </w:t>
      </w:r>
    </w:p>
    <w:p w:rsidR="0035244A" w:rsidRPr="00B6765D" w:rsidRDefault="0035244A" w:rsidP="0035244A">
      <w:pPr>
        <w:pStyle w:val="ListParagraph"/>
        <w:numPr>
          <w:ilvl w:val="0"/>
          <w:numId w:val="24"/>
        </w:numPr>
        <w:spacing w:after="160" w:line="259" w:lineRule="auto"/>
        <w:jc w:val="both"/>
        <w:rPr>
          <w:sz w:val="24"/>
          <w:szCs w:val="24"/>
        </w:rPr>
      </w:pPr>
      <w:proofErr w:type="spellStart"/>
      <w:r w:rsidRPr="00B6765D">
        <w:rPr>
          <w:sz w:val="24"/>
          <w:szCs w:val="24"/>
        </w:rPr>
        <w:t>Purbrook</w:t>
      </w:r>
      <w:proofErr w:type="spellEnd"/>
      <w:r w:rsidRPr="00B6765D">
        <w:rPr>
          <w:sz w:val="24"/>
          <w:szCs w:val="24"/>
        </w:rPr>
        <w:t xml:space="preserve"> Infant School in situated in the village of </w:t>
      </w:r>
      <w:proofErr w:type="spellStart"/>
      <w:r w:rsidRPr="00B6765D">
        <w:rPr>
          <w:sz w:val="24"/>
          <w:szCs w:val="24"/>
        </w:rPr>
        <w:t>Purbrook</w:t>
      </w:r>
      <w:proofErr w:type="spellEnd"/>
      <w:r w:rsidRPr="00B6765D">
        <w:rPr>
          <w:sz w:val="24"/>
          <w:szCs w:val="24"/>
        </w:rPr>
        <w:t>, Waterlooville.</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 xml:space="preserve">We currently have 258 children on roll and approximately 40% are out of our catchment area. </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Almost all of the pupils come from a white British background (92.25%).</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Within our school we have 1 child with disabilities and 1 member of staff.</w:t>
      </w:r>
    </w:p>
    <w:p w:rsidR="0035244A" w:rsidRPr="00B6765D" w:rsidRDefault="0035244A" w:rsidP="0035244A">
      <w:pPr>
        <w:rPr>
          <w:sz w:val="24"/>
          <w:szCs w:val="24"/>
        </w:rPr>
      </w:pPr>
      <w:r w:rsidRPr="00B6765D">
        <w:rPr>
          <w:b/>
          <w:sz w:val="24"/>
          <w:szCs w:val="24"/>
          <w:u w:val="single"/>
        </w:rPr>
        <w:t>Principles</w:t>
      </w:r>
      <w:r w:rsidRPr="00B6765D">
        <w:rPr>
          <w:sz w:val="24"/>
          <w:szCs w:val="24"/>
        </w:rPr>
        <w:t xml:space="preserve"> </w:t>
      </w:r>
    </w:p>
    <w:p w:rsidR="0035244A" w:rsidRPr="00B6765D" w:rsidRDefault="0035244A" w:rsidP="00B6765D">
      <w:pPr>
        <w:spacing w:after="120"/>
        <w:jc w:val="both"/>
        <w:rPr>
          <w:sz w:val="24"/>
          <w:szCs w:val="24"/>
        </w:rPr>
      </w:pPr>
      <w:r w:rsidRPr="00B6765D">
        <w:rPr>
          <w:sz w:val="24"/>
          <w:szCs w:val="24"/>
        </w:rPr>
        <w:t xml:space="preserve">To fulfil our legal obligations, we are guided by a number of principles. </w:t>
      </w:r>
    </w:p>
    <w:p w:rsidR="0035244A" w:rsidRPr="00B6765D" w:rsidRDefault="0035244A" w:rsidP="0035244A">
      <w:pPr>
        <w:pStyle w:val="ListParagraph"/>
        <w:numPr>
          <w:ilvl w:val="0"/>
          <w:numId w:val="25"/>
        </w:numPr>
        <w:spacing w:after="160" w:line="259" w:lineRule="auto"/>
        <w:jc w:val="both"/>
        <w:rPr>
          <w:sz w:val="24"/>
          <w:szCs w:val="24"/>
        </w:rPr>
      </w:pPr>
      <w:r w:rsidRPr="00B6765D">
        <w:rPr>
          <w:b/>
          <w:i/>
          <w:sz w:val="24"/>
          <w:szCs w:val="24"/>
        </w:rPr>
        <w:t>All pupils, families and staff are of equal value</w:t>
      </w:r>
      <w:r w:rsidRPr="00B6765D">
        <w:rPr>
          <w:sz w:val="24"/>
          <w:szCs w:val="24"/>
        </w:rPr>
        <w:t xml:space="preserve"> </w:t>
      </w:r>
    </w:p>
    <w:p w:rsidR="0035244A" w:rsidRPr="00B6765D" w:rsidRDefault="0035244A" w:rsidP="0035244A">
      <w:pPr>
        <w:jc w:val="both"/>
        <w:rPr>
          <w:sz w:val="24"/>
          <w:szCs w:val="24"/>
        </w:rPr>
      </w:pPr>
      <w:r w:rsidRPr="00B6765D">
        <w:rPr>
          <w:sz w:val="24"/>
          <w:szCs w:val="24"/>
        </w:rPr>
        <w:t xml:space="preserve">We see all pupils, potential pupils, their parents and carers, and staff as of equal value: </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 xml:space="preserve">Whether or not they are disabled </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Whatever their ethnicity, culture, national origin or national status</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 xml:space="preserve">Whatever their gender and gender identity </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 xml:space="preserve">Whatever their religious and non-religious affiliation or faith background </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Whatever their sexual orientation</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Whatever their marital status</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Whether they are currently pregnant or have recently given birth</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Whatever their age</w:t>
      </w:r>
    </w:p>
    <w:p w:rsidR="0035244A" w:rsidRPr="00B6765D" w:rsidRDefault="0035244A" w:rsidP="0035244A">
      <w:pPr>
        <w:pStyle w:val="ListParagraph"/>
        <w:numPr>
          <w:ilvl w:val="0"/>
          <w:numId w:val="24"/>
        </w:numPr>
        <w:spacing w:after="160" w:line="259" w:lineRule="auto"/>
        <w:rPr>
          <w:sz w:val="24"/>
          <w:szCs w:val="24"/>
        </w:rPr>
      </w:pPr>
      <w:r w:rsidRPr="00B6765D">
        <w:rPr>
          <w:sz w:val="24"/>
          <w:szCs w:val="24"/>
        </w:rPr>
        <w:t>Whatever language is a first language</w:t>
      </w:r>
    </w:p>
    <w:p w:rsidR="0035244A" w:rsidRPr="00B6765D" w:rsidRDefault="0035244A" w:rsidP="0035244A">
      <w:pPr>
        <w:pStyle w:val="ListParagraph"/>
        <w:rPr>
          <w:sz w:val="24"/>
          <w:szCs w:val="24"/>
        </w:rPr>
      </w:pPr>
    </w:p>
    <w:p w:rsidR="00B6765D" w:rsidRDefault="00B6765D">
      <w:pPr>
        <w:rPr>
          <w:b/>
          <w:i/>
          <w:sz w:val="24"/>
          <w:szCs w:val="24"/>
        </w:rPr>
      </w:pPr>
      <w:r>
        <w:rPr>
          <w:b/>
          <w:i/>
          <w:sz w:val="24"/>
          <w:szCs w:val="24"/>
        </w:rPr>
        <w:br w:type="page"/>
      </w:r>
    </w:p>
    <w:p w:rsidR="0035244A" w:rsidRPr="00B6765D" w:rsidRDefault="0035244A" w:rsidP="00D20C67">
      <w:pPr>
        <w:pStyle w:val="ListParagraph"/>
        <w:numPr>
          <w:ilvl w:val="0"/>
          <w:numId w:val="25"/>
        </w:numPr>
        <w:spacing w:line="259" w:lineRule="auto"/>
        <w:ind w:left="714" w:hanging="357"/>
        <w:rPr>
          <w:sz w:val="24"/>
          <w:szCs w:val="24"/>
        </w:rPr>
      </w:pPr>
      <w:r w:rsidRPr="00B6765D">
        <w:rPr>
          <w:b/>
          <w:i/>
          <w:sz w:val="24"/>
          <w:szCs w:val="24"/>
        </w:rPr>
        <w:t>We recognise and respect difference</w:t>
      </w:r>
      <w:r w:rsidRPr="00B6765D">
        <w:rPr>
          <w:sz w:val="24"/>
          <w:szCs w:val="24"/>
        </w:rPr>
        <w:t xml:space="preserve"> </w:t>
      </w:r>
    </w:p>
    <w:p w:rsidR="0035244A" w:rsidRPr="00B6765D" w:rsidRDefault="0035244A" w:rsidP="00FB0302">
      <w:pPr>
        <w:spacing w:after="120"/>
        <w:jc w:val="both"/>
        <w:rPr>
          <w:sz w:val="24"/>
          <w:szCs w:val="24"/>
        </w:rPr>
      </w:pPr>
      <w:r w:rsidRPr="00B6765D">
        <w:rPr>
          <w:sz w:val="24"/>
          <w:szCs w:val="24"/>
        </w:rPr>
        <w:t xml:space="preserve">We recognise that treating people equally does not necessarily involve treating them all the same. We recognise that our policies, procedures and activities must not discriminate but must take account of diversity and the kinds of barriers and disadvantage that staff, parents/carers or pupils may face in relation to their protected characteristics: </w:t>
      </w:r>
    </w:p>
    <w:p w:rsidR="0035244A" w:rsidRPr="00B6765D" w:rsidRDefault="0035244A" w:rsidP="0035244A">
      <w:pPr>
        <w:pStyle w:val="ListParagraph"/>
        <w:numPr>
          <w:ilvl w:val="0"/>
          <w:numId w:val="24"/>
        </w:numPr>
        <w:spacing w:after="160" w:line="259" w:lineRule="auto"/>
        <w:jc w:val="both"/>
        <w:rPr>
          <w:b/>
          <w:sz w:val="24"/>
          <w:szCs w:val="24"/>
        </w:rPr>
      </w:pPr>
      <w:r w:rsidRPr="00B6765D">
        <w:rPr>
          <w:sz w:val="24"/>
          <w:szCs w:val="24"/>
        </w:rPr>
        <w:t>Disability – we understand that reasonable adjustments may need to be made</w:t>
      </w:r>
    </w:p>
    <w:p w:rsidR="0035244A" w:rsidRPr="00B6765D" w:rsidRDefault="0035244A" w:rsidP="0035244A">
      <w:pPr>
        <w:pStyle w:val="ListParagraph"/>
        <w:numPr>
          <w:ilvl w:val="0"/>
          <w:numId w:val="24"/>
        </w:numPr>
        <w:spacing w:after="160" w:line="259" w:lineRule="auto"/>
        <w:jc w:val="both"/>
        <w:rPr>
          <w:b/>
          <w:sz w:val="24"/>
          <w:szCs w:val="24"/>
        </w:rPr>
      </w:pPr>
      <w:r w:rsidRPr="00B6765D">
        <w:rPr>
          <w:sz w:val="24"/>
          <w:szCs w:val="24"/>
        </w:rPr>
        <w:t>Gender (including transgender) – we recognise that girls and boys, men and women have different needs</w:t>
      </w:r>
    </w:p>
    <w:p w:rsidR="0035244A" w:rsidRPr="00B6765D" w:rsidRDefault="0035244A" w:rsidP="0035244A">
      <w:pPr>
        <w:pStyle w:val="ListParagraph"/>
        <w:numPr>
          <w:ilvl w:val="0"/>
          <w:numId w:val="24"/>
        </w:numPr>
        <w:spacing w:after="160" w:line="259" w:lineRule="auto"/>
        <w:jc w:val="both"/>
        <w:rPr>
          <w:b/>
          <w:sz w:val="24"/>
          <w:szCs w:val="24"/>
        </w:rPr>
      </w:pPr>
      <w:r w:rsidRPr="00B6765D">
        <w:rPr>
          <w:sz w:val="24"/>
          <w:szCs w:val="24"/>
        </w:rPr>
        <w:t>Religion and belief – we acknowledge that reasonable requests in relation to religious observance and practice may need to be made and complied with</w:t>
      </w:r>
    </w:p>
    <w:p w:rsidR="0035244A" w:rsidRPr="00B6765D" w:rsidRDefault="0035244A" w:rsidP="0035244A">
      <w:pPr>
        <w:pStyle w:val="ListParagraph"/>
        <w:numPr>
          <w:ilvl w:val="0"/>
          <w:numId w:val="24"/>
        </w:numPr>
        <w:spacing w:after="160" w:line="259" w:lineRule="auto"/>
        <w:jc w:val="both"/>
        <w:rPr>
          <w:b/>
          <w:sz w:val="24"/>
          <w:szCs w:val="24"/>
        </w:rPr>
      </w:pPr>
      <w:r w:rsidRPr="00B6765D">
        <w:rPr>
          <w:sz w:val="24"/>
          <w:szCs w:val="24"/>
        </w:rPr>
        <w:t>Ethnicity and race – we appreciate that all have different experiences as a result of our ethnic and racial backgrounds</w:t>
      </w:r>
    </w:p>
    <w:p w:rsidR="0035244A" w:rsidRPr="00B6765D" w:rsidRDefault="0035244A" w:rsidP="0035244A">
      <w:pPr>
        <w:pStyle w:val="ListParagraph"/>
        <w:numPr>
          <w:ilvl w:val="0"/>
          <w:numId w:val="24"/>
        </w:numPr>
        <w:spacing w:after="160" w:line="259" w:lineRule="auto"/>
        <w:jc w:val="both"/>
        <w:rPr>
          <w:b/>
          <w:sz w:val="24"/>
          <w:szCs w:val="24"/>
        </w:rPr>
      </w:pPr>
      <w:r w:rsidRPr="00B6765D">
        <w:rPr>
          <w:sz w:val="24"/>
          <w:szCs w:val="24"/>
        </w:rPr>
        <w:t>Age – we value the diversity in age of staff, parents and carers</w:t>
      </w:r>
    </w:p>
    <w:p w:rsidR="0035244A" w:rsidRPr="00B6765D" w:rsidRDefault="0035244A" w:rsidP="0035244A">
      <w:pPr>
        <w:pStyle w:val="ListParagraph"/>
        <w:numPr>
          <w:ilvl w:val="0"/>
          <w:numId w:val="24"/>
        </w:numPr>
        <w:spacing w:after="160" w:line="259" w:lineRule="auto"/>
        <w:jc w:val="both"/>
        <w:rPr>
          <w:b/>
          <w:sz w:val="24"/>
          <w:szCs w:val="24"/>
        </w:rPr>
      </w:pPr>
      <w:r w:rsidRPr="00B6765D">
        <w:rPr>
          <w:sz w:val="24"/>
          <w:szCs w:val="24"/>
        </w:rPr>
        <w:t>Sexual orientation – we respect that individuals have the right to determine their own sexual identity and that they should not experience disadvantage as a result of their preference</w:t>
      </w:r>
    </w:p>
    <w:p w:rsidR="0035244A" w:rsidRPr="00B6765D" w:rsidRDefault="0035244A" w:rsidP="0035244A">
      <w:pPr>
        <w:pStyle w:val="ListParagraph"/>
        <w:numPr>
          <w:ilvl w:val="0"/>
          <w:numId w:val="24"/>
        </w:numPr>
        <w:spacing w:after="160" w:line="259" w:lineRule="auto"/>
        <w:jc w:val="both"/>
        <w:rPr>
          <w:b/>
          <w:sz w:val="24"/>
          <w:szCs w:val="24"/>
        </w:rPr>
      </w:pPr>
      <w:r w:rsidRPr="00B6765D">
        <w:rPr>
          <w:sz w:val="24"/>
          <w:szCs w:val="24"/>
        </w:rPr>
        <w:t>Marital status – we recognise that our staff, parents and carers may make their own personal choices in respect of personal relationships and that they should not experience disadvantage as a result of the relationships they have</w:t>
      </w:r>
    </w:p>
    <w:p w:rsidR="0035244A" w:rsidRPr="00B6765D" w:rsidRDefault="0035244A" w:rsidP="0035244A">
      <w:pPr>
        <w:pStyle w:val="ListParagraph"/>
        <w:numPr>
          <w:ilvl w:val="0"/>
          <w:numId w:val="24"/>
        </w:numPr>
        <w:spacing w:after="160" w:line="259" w:lineRule="auto"/>
        <w:jc w:val="both"/>
        <w:rPr>
          <w:b/>
          <w:sz w:val="24"/>
          <w:szCs w:val="24"/>
        </w:rPr>
      </w:pPr>
      <w:r w:rsidRPr="00B6765D">
        <w:rPr>
          <w:sz w:val="24"/>
          <w:szCs w:val="24"/>
        </w:rPr>
        <w:t>Pregnancy and maternity – we believe that our staff, parents and carers should not experience any unfair disadvantage as a result of pregnancy or having recently given birth.</w:t>
      </w:r>
    </w:p>
    <w:p w:rsidR="0035244A" w:rsidRPr="00B6765D" w:rsidRDefault="0035244A" w:rsidP="0035244A">
      <w:pPr>
        <w:pStyle w:val="ListParagraph"/>
        <w:rPr>
          <w:b/>
          <w:sz w:val="24"/>
          <w:szCs w:val="24"/>
        </w:rPr>
      </w:pPr>
    </w:p>
    <w:p w:rsidR="0035244A" w:rsidRPr="00B6765D" w:rsidRDefault="0035244A" w:rsidP="0035244A">
      <w:pPr>
        <w:pStyle w:val="ListParagraph"/>
        <w:numPr>
          <w:ilvl w:val="0"/>
          <w:numId w:val="25"/>
        </w:numPr>
        <w:spacing w:after="160" w:line="259" w:lineRule="auto"/>
        <w:jc w:val="both"/>
        <w:rPr>
          <w:b/>
          <w:sz w:val="24"/>
          <w:szCs w:val="24"/>
        </w:rPr>
      </w:pPr>
      <w:r w:rsidRPr="00B6765D">
        <w:rPr>
          <w:b/>
          <w:i/>
          <w:sz w:val="24"/>
          <w:szCs w:val="24"/>
        </w:rPr>
        <w:t>We foster positive attitudes and relationships, and a shared sense of cohesion and belonging</w:t>
      </w:r>
      <w:r w:rsidRPr="00B6765D">
        <w:rPr>
          <w:sz w:val="24"/>
          <w:szCs w:val="24"/>
        </w:rPr>
        <w:t xml:space="preserve"> </w:t>
      </w:r>
    </w:p>
    <w:p w:rsidR="0035244A" w:rsidRPr="00B6765D" w:rsidRDefault="0035244A" w:rsidP="0035244A">
      <w:pPr>
        <w:jc w:val="both"/>
        <w:rPr>
          <w:b/>
          <w:sz w:val="24"/>
          <w:szCs w:val="24"/>
        </w:rPr>
      </w:pPr>
      <w:r w:rsidRPr="00B6765D">
        <w:rPr>
          <w:sz w:val="24"/>
          <w:szCs w:val="24"/>
        </w:rPr>
        <w:t xml:space="preserve">       We intend that our policies, procedures and activities should promote: </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positive attitudes and interaction between groups and communities different from each other</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an absence of harassment, victimisation and discrimination in relation to any protected characteristics</w:t>
      </w:r>
    </w:p>
    <w:p w:rsidR="0035244A" w:rsidRPr="00B6765D" w:rsidRDefault="0035244A" w:rsidP="0035244A">
      <w:pPr>
        <w:pStyle w:val="ListParagraph"/>
        <w:rPr>
          <w:sz w:val="24"/>
          <w:szCs w:val="24"/>
        </w:rPr>
      </w:pPr>
    </w:p>
    <w:p w:rsidR="0035244A" w:rsidRPr="00B6765D" w:rsidRDefault="0035244A" w:rsidP="0035244A">
      <w:pPr>
        <w:pStyle w:val="ListParagraph"/>
        <w:numPr>
          <w:ilvl w:val="0"/>
          <w:numId w:val="25"/>
        </w:numPr>
        <w:spacing w:after="160" w:line="259" w:lineRule="auto"/>
        <w:jc w:val="both"/>
        <w:rPr>
          <w:sz w:val="24"/>
          <w:szCs w:val="24"/>
        </w:rPr>
      </w:pPr>
      <w:r w:rsidRPr="00B6765D">
        <w:rPr>
          <w:b/>
          <w:i/>
          <w:sz w:val="24"/>
          <w:szCs w:val="24"/>
        </w:rPr>
        <w:t xml:space="preserve">We observe good equalities practice in relation to staff </w:t>
      </w:r>
    </w:p>
    <w:p w:rsidR="0035244A" w:rsidRPr="00B6765D" w:rsidRDefault="0035244A" w:rsidP="00FB0302">
      <w:pPr>
        <w:spacing w:after="240"/>
        <w:ind w:left="357"/>
        <w:jc w:val="both"/>
        <w:rPr>
          <w:sz w:val="24"/>
          <w:szCs w:val="24"/>
        </w:rPr>
      </w:pPr>
      <w:r w:rsidRPr="00B6765D">
        <w:rPr>
          <w:sz w:val="24"/>
          <w:szCs w:val="24"/>
        </w:rPr>
        <w:t>We ensure that our policies and practices for all staff and potential staff throughout the employment lifecycle, i.e. from recruitment through to the cessation of employment and beyond, are applied fairly and consistently across all groups with full respect for legal rights, taking into account aspects applicable to particular groups (e.g. duty to make reasonable adjustments for disabled staff).</w:t>
      </w:r>
    </w:p>
    <w:p w:rsidR="0035244A" w:rsidRPr="00B6765D" w:rsidRDefault="0035244A" w:rsidP="0035244A">
      <w:pPr>
        <w:pStyle w:val="ListParagraph"/>
        <w:numPr>
          <w:ilvl w:val="0"/>
          <w:numId w:val="25"/>
        </w:numPr>
        <w:spacing w:after="160" w:line="259" w:lineRule="auto"/>
        <w:jc w:val="both"/>
        <w:rPr>
          <w:sz w:val="24"/>
          <w:szCs w:val="24"/>
        </w:rPr>
      </w:pPr>
      <w:r w:rsidRPr="00B6765D">
        <w:rPr>
          <w:b/>
          <w:i/>
          <w:sz w:val="24"/>
          <w:szCs w:val="24"/>
        </w:rPr>
        <w:t>We aim to reduce and remove inequalities and barriers that already exist</w:t>
      </w:r>
      <w:r w:rsidRPr="00B6765D">
        <w:rPr>
          <w:sz w:val="24"/>
          <w:szCs w:val="24"/>
        </w:rPr>
        <w:t xml:space="preserve"> </w:t>
      </w:r>
    </w:p>
    <w:p w:rsidR="0035244A" w:rsidRPr="00B6765D" w:rsidRDefault="0035244A" w:rsidP="00FB0302">
      <w:pPr>
        <w:spacing w:after="240"/>
        <w:ind w:left="357"/>
        <w:jc w:val="both"/>
        <w:rPr>
          <w:sz w:val="24"/>
          <w:szCs w:val="24"/>
        </w:rPr>
      </w:pPr>
      <w:r w:rsidRPr="00B6765D">
        <w:rPr>
          <w:sz w:val="24"/>
          <w:szCs w:val="24"/>
        </w:rPr>
        <w:t xml:space="preserve">We intend that our policies, procedures and activities avoid or minimise any possible negative impacts and we aim to reduce inequalities that exist between groups and communities different from each other. </w:t>
      </w:r>
    </w:p>
    <w:p w:rsidR="0035244A" w:rsidRPr="00B6765D" w:rsidRDefault="0035244A" w:rsidP="0035244A">
      <w:pPr>
        <w:pStyle w:val="ListParagraph"/>
        <w:numPr>
          <w:ilvl w:val="0"/>
          <w:numId w:val="25"/>
        </w:numPr>
        <w:spacing w:after="160" w:line="259" w:lineRule="auto"/>
        <w:jc w:val="both"/>
        <w:rPr>
          <w:sz w:val="24"/>
          <w:szCs w:val="24"/>
        </w:rPr>
      </w:pPr>
      <w:r w:rsidRPr="00B6765D">
        <w:rPr>
          <w:b/>
          <w:i/>
          <w:sz w:val="24"/>
          <w:szCs w:val="24"/>
        </w:rPr>
        <w:t>We consult and involve to ensure views are heard</w:t>
      </w:r>
      <w:r w:rsidRPr="00B6765D">
        <w:rPr>
          <w:sz w:val="24"/>
          <w:szCs w:val="24"/>
        </w:rPr>
        <w:t xml:space="preserve"> </w:t>
      </w:r>
    </w:p>
    <w:p w:rsidR="0035244A" w:rsidRPr="00B6765D" w:rsidRDefault="0035244A" w:rsidP="0035244A">
      <w:pPr>
        <w:ind w:left="360"/>
        <w:jc w:val="both"/>
        <w:rPr>
          <w:sz w:val="24"/>
          <w:szCs w:val="24"/>
        </w:rPr>
      </w:pPr>
      <w:r w:rsidRPr="00B6765D">
        <w:rPr>
          <w:sz w:val="24"/>
          <w:szCs w:val="24"/>
        </w:rPr>
        <w:t>In our development of policies, we engage with groups and individuals, including pupils who are affected by a policy or activity to ensure that their views are taken into account. For policies and activities affecting pupils, we will take account of views expressed at school council; for parents, through parent governor representation and for staff, through staff governor representation. Where necessary, we will consult more widely with specific groups.</w:t>
      </w:r>
    </w:p>
    <w:p w:rsidR="00B6765D" w:rsidRDefault="00B6765D">
      <w:pPr>
        <w:rPr>
          <w:b/>
          <w:i/>
          <w:sz w:val="24"/>
          <w:szCs w:val="24"/>
        </w:rPr>
      </w:pPr>
      <w:r>
        <w:rPr>
          <w:b/>
          <w:i/>
          <w:sz w:val="24"/>
          <w:szCs w:val="24"/>
        </w:rPr>
        <w:br w:type="page"/>
      </w:r>
    </w:p>
    <w:p w:rsidR="0035244A" w:rsidRPr="00B6765D" w:rsidRDefault="0035244A" w:rsidP="00D20C67">
      <w:pPr>
        <w:pStyle w:val="ListParagraph"/>
        <w:numPr>
          <w:ilvl w:val="0"/>
          <w:numId w:val="25"/>
        </w:numPr>
        <w:spacing w:line="259" w:lineRule="auto"/>
        <w:ind w:left="714" w:hanging="357"/>
        <w:jc w:val="both"/>
        <w:rPr>
          <w:sz w:val="24"/>
          <w:szCs w:val="24"/>
        </w:rPr>
      </w:pPr>
      <w:r w:rsidRPr="00B6765D">
        <w:rPr>
          <w:b/>
          <w:i/>
          <w:sz w:val="24"/>
          <w:szCs w:val="24"/>
        </w:rPr>
        <w:t>We aim to foster greater community cohesion</w:t>
      </w:r>
      <w:r w:rsidRPr="00B6765D">
        <w:rPr>
          <w:sz w:val="24"/>
          <w:szCs w:val="24"/>
        </w:rPr>
        <w:t xml:space="preserve"> </w:t>
      </w:r>
    </w:p>
    <w:p w:rsidR="0035244A" w:rsidRPr="00B6765D" w:rsidRDefault="0035244A" w:rsidP="003C2D60">
      <w:pPr>
        <w:spacing w:after="120"/>
        <w:ind w:left="357"/>
        <w:jc w:val="both"/>
        <w:rPr>
          <w:sz w:val="24"/>
          <w:szCs w:val="24"/>
        </w:rPr>
      </w:pPr>
      <w:r w:rsidRPr="00B6765D">
        <w:rPr>
          <w:sz w:val="24"/>
          <w:szCs w:val="24"/>
        </w:rPr>
        <w:t>We intend that our policies, activities and curriculum offer and foster greater social cohesion and provide for an equal opportunity to participate in public life irrespective of the protected characteristics of individuals and groups.</w:t>
      </w:r>
    </w:p>
    <w:p w:rsidR="0035244A" w:rsidRPr="00B6765D" w:rsidRDefault="0035244A" w:rsidP="00D20C67">
      <w:pPr>
        <w:pStyle w:val="ListParagraph"/>
        <w:numPr>
          <w:ilvl w:val="0"/>
          <w:numId w:val="25"/>
        </w:numPr>
        <w:spacing w:line="259" w:lineRule="auto"/>
        <w:ind w:left="714" w:hanging="357"/>
        <w:jc w:val="both"/>
        <w:rPr>
          <w:sz w:val="24"/>
          <w:szCs w:val="24"/>
        </w:rPr>
      </w:pPr>
      <w:r w:rsidRPr="00B6765D">
        <w:rPr>
          <w:b/>
          <w:i/>
          <w:sz w:val="24"/>
          <w:szCs w:val="24"/>
        </w:rPr>
        <w:t>We base our practices on sound evidence</w:t>
      </w:r>
      <w:r w:rsidRPr="00B6765D">
        <w:rPr>
          <w:sz w:val="24"/>
          <w:szCs w:val="24"/>
        </w:rPr>
        <w:t xml:space="preserve"> </w:t>
      </w:r>
    </w:p>
    <w:p w:rsidR="0035244A" w:rsidRPr="00B6765D" w:rsidRDefault="0035244A" w:rsidP="00B6765D">
      <w:pPr>
        <w:spacing w:after="120"/>
        <w:ind w:left="357"/>
        <w:jc w:val="both"/>
        <w:rPr>
          <w:sz w:val="24"/>
          <w:szCs w:val="24"/>
        </w:rPr>
      </w:pPr>
      <w:r w:rsidRPr="00B6765D">
        <w:rPr>
          <w:sz w:val="24"/>
          <w:szCs w:val="24"/>
        </w:rPr>
        <w:t xml:space="preserve">We maintain and publish information annually to show our compliance with the public sector equality duty, set out under section 149 of the Equality Act 2010. Our current equality information can be found in Appendix A to this policy statement. </w:t>
      </w:r>
    </w:p>
    <w:p w:rsidR="0035244A" w:rsidRPr="00B6765D" w:rsidRDefault="0035244A" w:rsidP="00D20C67">
      <w:pPr>
        <w:pStyle w:val="ListParagraph"/>
        <w:numPr>
          <w:ilvl w:val="0"/>
          <w:numId w:val="25"/>
        </w:numPr>
        <w:spacing w:line="259" w:lineRule="auto"/>
        <w:ind w:left="714" w:hanging="357"/>
        <w:jc w:val="both"/>
        <w:rPr>
          <w:sz w:val="24"/>
          <w:szCs w:val="24"/>
        </w:rPr>
      </w:pPr>
      <w:r w:rsidRPr="00B6765D">
        <w:rPr>
          <w:b/>
          <w:i/>
          <w:sz w:val="24"/>
          <w:szCs w:val="24"/>
        </w:rPr>
        <w:t>We set ourselves specific and measurable equality objectives</w:t>
      </w:r>
      <w:r w:rsidRPr="00B6765D">
        <w:rPr>
          <w:sz w:val="24"/>
          <w:szCs w:val="24"/>
        </w:rPr>
        <w:t xml:space="preserve"> </w:t>
      </w:r>
    </w:p>
    <w:p w:rsidR="0035244A" w:rsidRPr="00B6765D" w:rsidRDefault="0035244A" w:rsidP="003C2D60">
      <w:pPr>
        <w:spacing w:after="120"/>
        <w:ind w:left="357"/>
        <w:jc w:val="both"/>
        <w:rPr>
          <w:sz w:val="24"/>
          <w:szCs w:val="24"/>
        </w:rPr>
      </w:pPr>
      <w:r w:rsidRPr="00B6765D">
        <w:rPr>
          <w:sz w:val="24"/>
          <w:szCs w:val="24"/>
        </w:rPr>
        <w:t xml:space="preserve">We develop and publish specific and measurable objectives every four years based on the evidence that we have gathered (principle 8) and the engagement we have been involved in (principle 7). The objectives can be found in Appendix B to this policy statement and take into account both national, county and school level priorities. </w:t>
      </w:r>
    </w:p>
    <w:p w:rsidR="0035244A" w:rsidRPr="00B6765D" w:rsidRDefault="0035244A" w:rsidP="00FB0302">
      <w:pPr>
        <w:spacing w:after="240"/>
        <w:ind w:left="357"/>
        <w:jc w:val="both"/>
        <w:rPr>
          <w:sz w:val="24"/>
          <w:szCs w:val="24"/>
        </w:rPr>
      </w:pPr>
      <w:r w:rsidRPr="00B6765D">
        <w:rPr>
          <w:sz w:val="24"/>
          <w:szCs w:val="24"/>
        </w:rPr>
        <w:t>We will set ourselves new objectives every four years, but keep them under review and report annually on progress towards achieving them.</w:t>
      </w:r>
    </w:p>
    <w:p w:rsidR="0035244A" w:rsidRPr="00B6765D" w:rsidRDefault="0035244A" w:rsidP="00D20C67">
      <w:pPr>
        <w:jc w:val="both"/>
        <w:rPr>
          <w:sz w:val="24"/>
          <w:szCs w:val="24"/>
        </w:rPr>
      </w:pPr>
      <w:r w:rsidRPr="00B6765D">
        <w:rPr>
          <w:b/>
          <w:sz w:val="24"/>
          <w:szCs w:val="24"/>
        </w:rPr>
        <w:t xml:space="preserve">Application of the principles within this policy statement: </w:t>
      </w:r>
    </w:p>
    <w:p w:rsidR="0035244A" w:rsidRPr="00B6765D" w:rsidRDefault="0035244A" w:rsidP="0035244A">
      <w:pPr>
        <w:jc w:val="both"/>
        <w:rPr>
          <w:sz w:val="24"/>
          <w:szCs w:val="24"/>
        </w:rPr>
      </w:pPr>
      <w:r w:rsidRPr="00B6765D">
        <w:rPr>
          <w:sz w:val="24"/>
          <w:szCs w:val="24"/>
        </w:rPr>
        <w:t xml:space="preserve">The principles outlined in the policy statement will be applied and reflected in: </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The delivery of the school curriculum</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The teaching and learning within the school</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Our practice in relation to pupil progress, attainment and achievement</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Our teaching styles and strategies</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Our policies and practice in relation to admissions and attendance</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Our policies and practice in relation to staff</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Our care, guidance and support to pupils, their families and staff</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Our policies and practice in relation to pupil behaviour, discipline and exclusions</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Our partnership working with parents and carers</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Our contact with the wider school community</w:t>
      </w:r>
    </w:p>
    <w:p w:rsidR="0035244A" w:rsidRPr="00B6765D" w:rsidRDefault="0035244A" w:rsidP="0035244A">
      <w:pPr>
        <w:jc w:val="both"/>
        <w:rPr>
          <w:sz w:val="24"/>
          <w:szCs w:val="24"/>
        </w:rPr>
      </w:pPr>
      <w:r w:rsidRPr="00B6765D">
        <w:rPr>
          <w:b/>
          <w:sz w:val="24"/>
          <w:szCs w:val="24"/>
        </w:rPr>
        <w:t>Addressing prejudice and prejudice-related bullying</w:t>
      </w:r>
      <w:r w:rsidRPr="00B6765D">
        <w:rPr>
          <w:sz w:val="24"/>
          <w:szCs w:val="24"/>
        </w:rPr>
        <w:t xml:space="preserve"> </w:t>
      </w:r>
    </w:p>
    <w:p w:rsidR="0035244A" w:rsidRPr="00B6765D" w:rsidRDefault="0035244A" w:rsidP="00B6765D">
      <w:pPr>
        <w:spacing w:after="120"/>
        <w:jc w:val="both"/>
        <w:rPr>
          <w:sz w:val="24"/>
          <w:szCs w:val="24"/>
        </w:rPr>
      </w:pPr>
      <w:r w:rsidRPr="00B6765D">
        <w:rPr>
          <w:sz w:val="24"/>
          <w:szCs w:val="24"/>
        </w:rPr>
        <w:t xml:space="preserve">The school is opposed to all forms of prejudice including, but not limited to prejudice related to protected characteristics. We will ensure that prejudice-related incidents in relation to staff and pupils are recorded and dealt with appropriately. </w:t>
      </w:r>
    </w:p>
    <w:p w:rsidR="0035244A" w:rsidRPr="00B6765D" w:rsidRDefault="0035244A" w:rsidP="0035244A">
      <w:pPr>
        <w:jc w:val="both"/>
        <w:rPr>
          <w:sz w:val="24"/>
          <w:szCs w:val="24"/>
        </w:rPr>
      </w:pPr>
      <w:r w:rsidRPr="00B6765D">
        <w:rPr>
          <w:b/>
          <w:sz w:val="24"/>
          <w:szCs w:val="24"/>
        </w:rPr>
        <w:t>Roles and responsibilities</w:t>
      </w:r>
      <w:r w:rsidRPr="00B6765D">
        <w:rPr>
          <w:sz w:val="24"/>
          <w:szCs w:val="24"/>
        </w:rPr>
        <w:t xml:space="preserve"> </w:t>
      </w:r>
    </w:p>
    <w:p w:rsidR="0035244A" w:rsidRPr="00B6765D" w:rsidRDefault="0035244A" w:rsidP="0035244A">
      <w:pPr>
        <w:jc w:val="both"/>
        <w:rPr>
          <w:sz w:val="24"/>
          <w:szCs w:val="24"/>
        </w:rPr>
      </w:pPr>
      <w:r w:rsidRPr="00B6765D">
        <w:rPr>
          <w:sz w:val="24"/>
          <w:szCs w:val="24"/>
        </w:rPr>
        <w:t xml:space="preserve">The governing body is responsible for ensuring that the school complies with legislation, and that this policy and its related procedures and action plans are implemented and that arrangements are in place to deal with any concerns or unlawful action that arises. </w:t>
      </w:r>
    </w:p>
    <w:p w:rsidR="0035244A" w:rsidRPr="00B6765D" w:rsidRDefault="0035244A" w:rsidP="0035244A">
      <w:pPr>
        <w:jc w:val="both"/>
        <w:rPr>
          <w:sz w:val="24"/>
          <w:szCs w:val="24"/>
        </w:rPr>
      </w:pPr>
      <w:r w:rsidRPr="00B6765D">
        <w:rPr>
          <w:sz w:val="24"/>
          <w:szCs w:val="24"/>
        </w:rPr>
        <w:t xml:space="preserve">The </w:t>
      </w:r>
      <w:proofErr w:type="spellStart"/>
      <w:r w:rsidRPr="00B6765D">
        <w:rPr>
          <w:sz w:val="24"/>
          <w:szCs w:val="24"/>
        </w:rPr>
        <w:t>headteacher</w:t>
      </w:r>
      <w:proofErr w:type="spellEnd"/>
      <w:r w:rsidRPr="00B6765D">
        <w:rPr>
          <w:sz w:val="24"/>
          <w:szCs w:val="24"/>
        </w:rPr>
        <w:t xml:space="preserve"> is responsible for implementation of this policy, ensuring that all staff are aware of their responsibilities and given appropriate training and support and for taking appropriate action in any cases of unlawful discrimination, harassment or victimisation. </w:t>
      </w:r>
    </w:p>
    <w:p w:rsidR="0035244A" w:rsidRPr="00B6765D" w:rsidRDefault="0035244A" w:rsidP="0035244A">
      <w:pPr>
        <w:jc w:val="both"/>
        <w:rPr>
          <w:sz w:val="24"/>
          <w:szCs w:val="24"/>
        </w:rPr>
      </w:pPr>
    </w:p>
    <w:p w:rsidR="0035244A" w:rsidRPr="00B6765D" w:rsidRDefault="0035244A" w:rsidP="0035244A">
      <w:pPr>
        <w:jc w:val="both"/>
        <w:rPr>
          <w:sz w:val="24"/>
          <w:szCs w:val="24"/>
        </w:rPr>
      </w:pPr>
      <w:r w:rsidRPr="00B6765D">
        <w:rPr>
          <w:sz w:val="24"/>
          <w:szCs w:val="24"/>
        </w:rPr>
        <w:t xml:space="preserve">All staff are expected to work in accordance with the principles outlined in this policy to: </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promote an inclusive and collaborative ethos in their practice</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deal with any prejudice-related incidents that may occur</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plan and deliver curricula and lessons</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support pupils in their class who have additional needs</w:t>
      </w:r>
    </w:p>
    <w:p w:rsidR="0035244A" w:rsidRPr="00B6765D" w:rsidRDefault="0035244A" w:rsidP="0035244A">
      <w:pPr>
        <w:jc w:val="right"/>
        <w:rPr>
          <w:b/>
          <w:sz w:val="24"/>
          <w:szCs w:val="24"/>
        </w:rPr>
      </w:pPr>
      <w:r w:rsidRPr="00B6765D">
        <w:rPr>
          <w:b/>
          <w:sz w:val="24"/>
          <w:szCs w:val="24"/>
        </w:rPr>
        <w:t>Appendix A</w:t>
      </w:r>
    </w:p>
    <w:p w:rsidR="0035244A" w:rsidRPr="00B6765D" w:rsidRDefault="0035244A" w:rsidP="0035244A">
      <w:pPr>
        <w:jc w:val="both"/>
        <w:rPr>
          <w:sz w:val="24"/>
          <w:szCs w:val="24"/>
        </w:rPr>
      </w:pPr>
      <w:r w:rsidRPr="00B6765D">
        <w:rPr>
          <w:b/>
          <w:sz w:val="24"/>
          <w:szCs w:val="24"/>
        </w:rPr>
        <w:t>Equalities Information</w:t>
      </w:r>
      <w:r w:rsidRPr="00B6765D">
        <w:rPr>
          <w:sz w:val="24"/>
          <w:szCs w:val="24"/>
        </w:rPr>
        <w:t xml:space="preserve"> </w:t>
      </w:r>
    </w:p>
    <w:p w:rsidR="0035244A" w:rsidRPr="00B6765D" w:rsidRDefault="0035244A" w:rsidP="0035244A">
      <w:pPr>
        <w:jc w:val="both"/>
        <w:rPr>
          <w:sz w:val="24"/>
          <w:szCs w:val="24"/>
        </w:rPr>
      </w:pPr>
      <w:r w:rsidRPr="00B6765D">
        <w:rPr>
          <w:sz w:val="24"/>
          <w:szCs w:val="24"/>
        </w:rPr>
        <w:t xml:space="preserve">We recognise that the public sector equality duty has three aims, to: </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eliminate unlawful discrimination, harassment and victimisation and other conduct under the Act</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advance equality of opportunity between people who share a protected characteristic and those who do not</w:t>
      </w:r>
    </w:p>
    <w:p w:rsidR="0035244A" w:rsidRPr="00B6765D" w:rsidRDefault="0035244A" w:rsidP="0035244A">
      <w:pPr>
        <w:pStyle w:val="ListParagraph"/>
        <w:numPr>
          <w:ilvl w:val="0"/>
          <w:numId w:val="24"/>
        </w:numPr>
        <w:spacing w:after="160" w:line="259" w:lineRule="auto"/>
        <w:jc w:val="both"/>
        <w:rPr>
          <w:sz w:val="24"/>
          <w:szCs w:val="24"/>
        </w:rPr>
      </w:pPr>
      <w:r w:rsidRPr="00B6765D">
        <w:rPr>
          <w:sz w:val="24"/>
          <w:szCs w:val="24"/>
        </w:rPr>
        <w:t xml:space="preserve">foster good relations between people who share a protected characteristic and those who do not </w:t>
      </w:r>
    </w:p>
    <w:p w:rsidR="0035244A" w:rsidRPr="00B6765D" w:rsidRDefault="0035244A" w:rsidP="003C2D60">
      <w:pPr>
        <w:spacing w:after="120"/>
        <w:jc w:val="both"/>
        <w:rPr>
          <w:sz w:val="24"/>
          <w:szCs w:val="24"/>
        </w:rPr>
      </w:pPr>
      <w:r w:rsidRPr="00B6765D">
        <w:rPr>
          <w:sz w:val="24"/>
          <w:szCs w:val="24"/>
        </w:rPr>
        <w:t>We have considered how well we currently achieve these aims with regard to the protected groups under the Equality Act (race, disability, gender, gender re-assignment, age, pregnancy and maternity, marital status, sexual orientation, religion and belief and sexual orientation).</w:t>
      </w:r>
    </w:p>
    <w:p w:rsidR="00DD6769" w:rsidRDefault="00DD6769" w:rsidP="003C2D60">
      <w:pPr>
        <w:spacing w:after="120"/>
        <w:rPr>
          <w:b/>
          <w:sz w:val="24"/>
          <w:szCs w:val="24"/>
        </w:rPr>
      </w:pPr>
    </w:p>
    <w:p w:rsidR="0035244A" w:rsidRPr="00B6765D" w:rsidRDefault="0035244A" w:rsidP="003C2D60">
      <w:pPr>
        <w:spacing w:after="120"/>
        <w:rPr>
          <w:b/>
          <w:sz w:val="24"/>
          <w:szCs w:val="24"/>
        </w:rPr>
      </w:pPr>
      <w:r w:rsidRPr="00B6765D">
        <w:rPr>
          <w:b/>
          <w:sz w:val="24"/>
          <w:szCs w:val="24"/>
        </w:rPr>
        <w:t xml:space="preserve">Pupil-related data Early Years Data at </w:t>
      </w:r>
      <w:proofErr w:type="spellStart"/>
      <w:r w:rsidRPr="00B6765D">
        <w:rPr>
          <w:b/>
          <w:sz w:val="24"/>
          <w:szCs w:val="24"/>
        </w:rPr>
        <w:t>Purbrook</w:t>
      </w:r>
      <w:proofErr w:type="spellEnd"/>
      <w:r w:rsidRPr="00B6765D">
        <w:rPr>
          <w:b/>
          <w:sz w:val="24"/>
          <w:szCs w:val="24"/>
        </w:rPr>
        <w:t xml:space="preserve"> Infant School September 2017 – July 2018</w:t>
      </w:r>
    </w:p>
    <w:tbl>
      <w:tblPr>
        <w:tblStyle w:val="TableGrid"/>
        <w:tblW w:w="0" w:type="auto"/>
        <w:tblLook w:val="04A0" w:firstRow="1" w:lastRow="0" w:firstColumn="1" w:lastColumn="0" w:noHBand="0" w:noVBand="1"/>
      </w:tblPr>
      <w:tblGrid>
        <w:gridCol w:w="4508"/>
        <w:gridCol w:w="4508"/>
      </w:tblGrid>
      <w:tr w:rsidR="0035244A" w:rsidRPr="00B6765D" w:rsidTr="00381B2B">
        <w:tc>
          <w:tcPr>
            <w:tcW w:w="4508" w:type="dxa"/>
            <w:shd w:val="clear" w:color="auto" w:fill="FBE4D5" w:themeFill="accent2" w:themeFillTint="33"/>
          </w:tcPr>
          <w:p w:rsidR="0035244A" w:rsidRPr="00B6765D" w:rsidRDefault="0035244A" w:rsidP="00381B2B">
            <w:pPr>
              <w:rPr>
                <w:b/>
                <w:sz w:val="24"/>
                <w:szCs w:val="24"/>
              </w:rPr>
            </w:pPr>
            <w:r w:rsidRPr="00B6765D">
              <w:rPr>
                <w:sz w:val="24"/>
                <w:szCs w:val="24"/>
              </w:rPr>
              <w:t xml:space="preserve">Subject </w:t>
            </w:r>
          </w:p>
        </w:tc>
        <w:tc>
          <w:tcPr>
            <w:tcW w:w="4508" w:type="dxa"/>
            <w:shd w:val="clear" w:color="auto" w:fill="FBE4D5" w:themeFill="accent2" w:themeFillTint="33"/>
          </w:tcPr>
          <w:p w:rsidR="0035244A" w:rsidRPr="00B6765D" w:rsidRDefault="0035244A" w:rsidP="00381B2B">
            <w:pPr>
              <w:rPr>
                <w:b/>
                <w:sz w:val="24"/>
                <w:szCs w:val="24"/>
              </w:rPr>
            </w:pPr>
            <w:r w:rsidRPr="00B6765D">
              <w:rPr>
                <w:sz w:val="24"/>
                <w:szCs w:val="24"/>
              </w:rPr>
              <w:t>Percentage of children meeting the early Learning Goals</w:t>
            </w:r>
          </w:p>
        </w:tc>
      </w:tr>
      <w:tr w:rsidR="0035244A" w:rsidRPr="00B6765D" w:rsidTr="00381B2B">
        <w:tc>
          <w:tcPr>
            <w:tcW w:w="4508" w:type="dxa"/>
          </w:tcPr>
          <w:p w:rsidR="0035244A" w:rsidRPr="00B6765D" w:rsidRDefault="0035244A" w:rsidP="00381B2B">
            <w:pPr>
              <w:rPr>
                <w:sz w:val="24"/>
                <w:szCs w:val="24"/>
              </w:rPr>
            </w:pPr>
            <w:r w:rsidRPr="00B6765D">
              <w:rPr>
                <w:sz w:val="24"/>
                <w:szCs w:val="24"/>
              </w:rPr>
              <w:t>Reading</w:t>
            </w:r>
          </w:p>
        </w:tc>
        <w:tc>
          <w:tcPr>
            <w:tcW w:w="4508" w:type="dxa"/>
          </w:tcPr>
          <w:p w:rsidR="0035244A" w:rsidRPr="00B6765D" w:rsidRDefault="0035244A" w:rsidP="00381B2B">
            <w:pPr>
              <w:rPr>
                <w:sz w:val="24"/>
                <w:szCs w:val="24"/>
              </w:rPr>
            </w:pPr>
            <w:r w:rsidRPr="00B6765D">
              <w:rPr>
                <w:sz w:val="24"/>
                <w:szCs w:val="24"/>
              </w:rPr>
              <w:t>77%</w:t>
            </w:r>
          </w:p>
        </w:tc>
      </w:tr>
      <w:tr w:rsidR="0035244A" w:rsidRPr="00B6765D" w:rsidTr="00381B2B">
        <w:tc>
          <w:tcPr>
            <w:tcW w:w="4508" w:type="dxa"/>
          </w:tcPr>
          <w:p w:rsidR="0035244A" w:rsidRPr="00B6765D" w:rsidRDefault="0035244A" w:rsidP="00381B2B">
            <w:pPr>
              <w:rPr>
                <w:sz w:val="24"/>
                <w:szCs w:val="24"/>
              </w:rPr>
            </w:pPr>
            <w:r w:rsidRPr="00B6765D">
              <w:rPr>
                <w:sz w:val="24"/>
                <w:szCs w:val="24"/>
              </w:rPr>
              <w:t>Writing</w:t>
            </w:r>
          </w:p>
        </w:tc>
        <w:tc>
          <w:tcPr>
            <w:tcW w:w="4508" w:type="dxa"/>
          </w:tcPr>
          <w:p w:rsidR="0035244A" w:rsidRPr="00B6765D" w:rsidRDefault="0035244A" w:rsidP="00381B2B">
            <w:pPr>
              <w:rPr>
                <w:sz w:val="24"/>
                <w:szCs w:val="24"/>
              </w:rPr>
            </w:pPr>
            <w:r w:rsidRPr="00B6765D">
              <w:rPr>
                <w:sz w:val="24"/>
                <w:szCs w:val="24"/>
              </w:rPr>
              <w:t>75%</w:t>
            </w:r>
          </w:p>
        </w:tc>
      </w:tr>
      <w:tr w:rsidR="0035244A" w:rsidRPr="00B6765D" w:rsidTr="00381B2B">
        <w:tc>
          <w:tcPr>
            <w:tcW w:w="4508" w:type="dxa"/>
          </w:tcPr>
          <w:p w:rsidR="0035244A" w:rsidRPr="00B6765D" w:rsidRDefault="0035244A" w:rsidP="00381B2B">
            <w:pPr>
              <w:rPr>
                <w:sz w:val="24"/>
                <w:szCs w:val="24"/>
              </w:rPr>
            </w:pPr>
            <w:r w:rsidRPr="00B6765D">
              <w:rPr>
                <w:sz w:val="24"/>
                <w:szCs w:val="24"/>
              </w:rPr>
              <w:t>Number</w:t>
            </w:r>
          </w:p>
        </w:tc>
        <w:tc>
          <w:tcPr>
            <w:tcW w:w="4508" w:type="dxa"/>
          </w:tcPr>
          <w:p w:rsidR="0035244A" w:rsidRPr="00B6765D" w:rsidRDefault="0035244A" w:rsidP="00381B2B">
            <w:pPr>
              <w:rPr>
                <w:sz w:val="24"/>
                <w:szCs w:val="24"/>
              </w:rPr>
            </w:pPr>
            <w:r w:rsidRPr="00B6765D">
              <w:rPr>
                <w:sz w:val="24"/>
                <w:szCs w:val="24"/>
              </w:rPr>
              <w:t>77%</w:t>
            </w:r>
          </w:p>
        </w:tc>
      </w:tr>
      <w:tr w:rsidR="0035244A" w:rsidRPr="00B6765D" w:rsidTr="00381B2B">
        <w:tc>
          <w:tcPr>
            <w:tcW w:w="4508" w:type="dxa"/>
          </w:tcPr>
          <w:p w:rsidR="0035244A" w:rsidRPr="00B6765D" w:rsidRDefault="0035244A" w:rsidP="00381B2B">
            <w:pPr>
              <w:rPr>
                <w:sz w:val="24"/>
                <w:szCs w:val="24"/>
              </w:rPr>
            </w:pPr>
            <w:r w:rsidRPr="00B6765D">
              <w:rPr>
                <w:sz w:val="24"/>
                <w:szCs w:val="24"/>
              </w:rPr>
              <w:t>Shape and space</w:t>
            </w:r>
          </w:p>
        </w:tc>
        <w:tc>
          <w:tcPr>
            <w:tcW w:w="4508" w:type="dxa"/>
          </w:tcPr>
          <w:p w:rsidR="0035244A" w:rsidRPr="00B6765D" w:rsidRDefault="0035244A" w:rsidP="00381B2B">
            <w:pPr>
              <w:rPr>
                <w:sz w:val="24"/>
                <w:szCs w:val="24"/>
              </w:rPr>
            </w:pPr>
            <w:r w:rsidRPr="00B6765D">
              <w:rPr>
                <w:sz w:val="24"/>
                <w:szCs w:val="24"/>
              </w:rPr>
              <w:t>80%</w:t>
            </w:r>
          </w:p>
        </w:tc>
      </w:tr>
    </w:tbl>
    <w:p w:rsidR="0035244A" w:rsidRPr="00B6765D" w:rsidRDefault="0035244A" w:rsidP="0035244A">
      <w:pPr>
        <w:rPr>
          <w:sz w:val="24"/>
          <w:szCs w:val="24"/>
        </w:rPr>
      </w:pPr>
    </w:p>
    <w:p w:rsidR="0035244A" w:rsidRPr="00B6765D" w:rsidRDefault="0035244A" w:rsidP="003C2D60">
      <w:pPr>
        <w:spacing w:after="120"/>
        <w:rPr>
          <w:b/>
          <w:sz w:val="24"/>
          <w:szCs w:val="24"/>
        </w:rPr>
      </w:pPr>
      <w:r w:rsidRPr="00B6765D">
        <w:rPr>
          <w:b/>
          <w:sz w:val="24"/>
          <w:szCs w:val="24"/>
        </w:rPr>
        <w:t>Gender differences in Early Years</w:t>
      </w:r>
    </w:p>
    <w:tbl>
      <w:tblPr>
        <w:tblStyle w:val="TableGrid"/>
        <w:tblW w:w="0" w:type="auto"/>
        <w:tblLook w:val="04A0" w:firstRow="1" w:lastRow="0" w:firstColumn="1" w:lastColumn="0" w:noHBand="0" w:noVBand="1"/>
      </w:tblPr>
      <w:tblGrid>
        <w:gridCol w:w="2411"/>
        <w:gridCol w:w="1700"/>
        <w:gridCol w:w="1635"/>
      </w:tblGrid>
      <w:tr w:rsidR="0035244A" w:rsidRPr="00B6765D" w:rsidTr="00381B2B">
        <w:tc>
          <w:tcPr>
            <w:tcW w:w="2411" w:type="dxa"/>
            <w:shd w:val="clear" w:color="auto" w:fill="FBE4D5" w:themeFill="accent2" w:themeFillTint="33"/>
          </w:tcPr>
          <w:p w:rsidR="0035244A" w:rsidRPr="00B6765D" w:rsidRDefault="0035244A" w:rsidP="00381B2B">
            <w:pPr>
              <w:rPr>
                <w:b/>
                <w:sz w:val="24"/>
                <w:szCs w:val="24"/>
              </w:rPr>
            </w:pPr>
            <w:r w:rsidRPr="00B6765D">
              <w:rPr>
                <w:sz w:val="24"/>
                <w:szCs w:val="24"/>
              </w:rPr>
              <w:t xml:space="preserve">Gender </w:t>
            </w:r>
          </w:p>
        </w:tc>
        <w:tc>
          <w:tcPr>
            <w:tcW w:w="1700" w:type="dxa"/>
            <w:shd w:val="clear" w:color="auto" w:fill="FBE4D5" w:themeFill="accent2" w:themeFillTint="33"/>
          </w:tcPr>
          <w:p w:rsidR="0035244A" w:rsidRPr="00B6765D" w:rsidRDefault="0035244A" w:rsidP="00381B2B">
            <w:pPr>
              <w:rPr>
                <w:sz w:val="24"/>
                <w:szCs w:val="24"/>
              </w:rPr>
            </w:pPr>
            <w:r w:rsidRPr="00B6765D">
              <w:rPr>
                <w:sz w:val="24"/>
                <w:szCs w:val="24"/>
              </w:rPr>
              <w:t>Literacy</w:t>
            </w:r>
          </w:p>
        </w:tc>
        <w:tc>
          <w:tcPr>
            <w:tcW w:w="1635" w:type="dxa"/>
            <w:shd w:val="clear" w:color="auto" w:fill="FBE4D5" w:themeFill="accent2" w:themeFillTint="33"/>
          </w:tcPr>
          <w:p w:rsidR="0035244A" w:rsidRPr="00B6765D" w:rsidRDefault="0035244A" w:rsidP="00381B2B">
            <w:pPr>
              <w:rPr>
                <w:sz w:val="24"/>
                <w:szCs w:val="24"/>
              </w:rPr>
            </w:pPr>
            <w:r w:rsidRPr="00B6765D">
              <w:rPr>
                <w:sz w:val="24"/>
                <w:szCs w:val="24"/>
              </w:rPr>
              <w:t>Maths</w:t>
            </w:r>
          </w:p>
        </w:tc>
      </w:tr>
      <w:tr w:rsidR="0035244A" w:rsidRPr="00B6765D" w:rsidTr="00381B2B">
        <w:tc>
          <w:tcPr>
            <w:tcW w:w="2411" w:type="dxa"/>
          </w:tcPr>
          <w:p w:rsidR="0035244A" w:rsidRPr="00B6765D" w:rsidRDefault="0035244A" w:rsidP="00381B2B">
            <w:pPr>
              <w:rPr>
                <w:sz w:val="24"/>
                <w:szCs w:val="24"/>
              </w:rPr>
            </w:pPr>
            <w:r w:rsidRPr="00B6765D">
              <w:rPr>
                <w:sz w:val="24"/>
                <w:szCs w:val="24"/>
              </w:rPr>
              <w:t>Boys</w:t>
            </w:r>
          </w:p>
        </w:tc>
        <w:tc>
          <w:tcPr>
            <w:tcW w:w="1700" w:type="dxa"/>
          </w:tcPr>
          <w:p w:rsidR="0035244A" w:rsidRPr="00B6765D" w:rsidRDefault="0035244A" w:rsidP="00381B2B">
            <w:pPr>
              <w:rPr>
                <w:sz w:val="24"/>
                <w:szCs w:val="24"/>
              </w:rPr>
            </w:pPr>
            <w:r w:rsidRPr="00B6765D">
              <w:rPr>
                <w:sz w:val="24"/>
                <w:szCs w:val="24"/>
              </w:rPr>
              <w:t>68.6%</w:t>
            </w:r>
          </w:p>
        </w:tc>
        <w:tc>
          <w:tcPr>
            <w:tcW w:w="1635" w:type="dxa"/>
          </w:tcPr>
          <w:p w:rsidR="0035244A" w:rsidRPr="00B6765D" w:rsidRDefault="0035244A" w:rsidP="00381B2B">
            <w:pPr>
              <w:rPr>
                <w:sz w:val="24"/>
                <w:szCs w:val="24"/>
              </w:rPr>
            </w:pPr>
            <w:r w:rsidRPr="00B6765D">
              <w:rPr>
                <w:sz w:val="24"/>
                <w:szCs w:val="24"/>
              </w:rPr>
              <w:t>79.9%</w:t>
            </w:r>
          </w:p>
        </w:tc>
      </w:tr>
      <w:tr w:rsidR="0035244A" w:rsidRPr="00B6765D" w:rsidTr="00381B2B">
        <w:tc>
          <w:tcPr>
            <w:tcW w:w="2411" w:type="dxa"/>
          </w:tcPr>
          <w:p w:rsidR="0035244A" w:rsidRPr="00B6765D" w:rsidRDefault="0035244A" w:rsidP="00381B2B">
            <w:pPr>
              <w:rPr>
                <w:sz w:val="24"/>
                <w:szCs w:val="24"/>
              </w:rPr>
            </w:pPr>
            <w:r w:rsidRPr="00B6765D">
              <w:rPr>
                <w:sz w:val="24"/>
                <w:szCs w:val="24"/>
              </w:rPr>
              <w:t>Girls</w:t>
            </w:r>
          </w:p>
        </w:tc>
        <w:tc>
          <w:tcPr>
            <w:tcW w:w="1700" w:type="dxa"/>
          </w:tcPr>
          <w:p w:rsidR="0035244A" w:rsidRPr="00B6765D" w:rsidRDefault="0035244A" w:rsidP="00381B2B">
            <w:pPr>
              <w:rPr>
                <w:sz w:val="24"/>
                <w:szCs w:val="24"/>
              </w:rPr>
            </w:pPr>
            <w:r w:rsidRPr="00B6765D">
              <w:rPr>
                <w:sz w:val="24"/>
                <w:szCs w:val="24"/>
              </w:rPr>
              <w:t>84.6%</w:t>
            </w:r>
          </w:p>
        </w:tc>
        <w:tc>
          <w:tcPr>
            <w:tcW w:w="1635" w:type="dxa"/>
          </w:tcPr>
          <w:p w:rsidR="0035244A" w:rsidRPr="00B6765D" w:rsidRDefault="0035244A" w:rsidP="00381B2B">
            <w:pPr>
              <w:rPr>
                <w:sz w:val="24"/>
                <w:szCs w:val="24"/>
              </w:rPr>
            </w:pPr>
            <w:r w:rsidRPr="00B6765D">
              <w:rPr>
                <w:sz w:val="24"/>
                <w:szCs w:val="24"/>
              </w:rPr>
              <w:t>87.1%</w:t>
            </w:r>
          </w:p>
        </w:tc>
      </w:tr>
      <w:tr w:rsidR="0035244A" w:rsidRPr="00B6765D" w:rsidTr="00381B2B">
        <w:tc>
          <w:tcPr>
            <w:tcW w:w="2411" w:type="dxa"/>
          </w:tcPr>
          <w:p w:rsidR="0035244A" w:rsidRPr="00B6765D" w:rsidRDefault="0035244A" w:rsidP="00381B2B">
            <w:pPr>
              <w:rPr>
                <w:sz w:val="24"/>
                <w:szCs w:val="24"/>
              </w:rPr>
            </w:pPr>
            <w:r w:rsidRPr="00B6765D">
              <w:rPr>
                <w:sz w:val="24"/>
                <w:szCs w:val="24"/>
              </w:rPr>
              <w:t>Differences</w:t>
            </w:r>
          </w:p>
        </w:tc>
        <w:tc>
          <w:tcPr>
            <w:tcW w:w="1700" w:type="dxa"/>
          </w:tcPr>
          <w:p w:rsidR="0035244A" w:rsidRPr="00B6765D" w:rsidRDefault="0035244A" w:rsidP="00381B2B">
            <w:pPr>
              <w:rPr>
                <w:b/>
                <w:sz w:val="24"/>
                <w:szCs w:val="24"/>
              </w:rPr>
            </w:pPr>
            <w:r w:rsidRPr="00B6765D">
              <w:rPr>
                <w:sz w:val="24"/>
                <w:szCs w:val="24"/>
              </w:rPr>
              <w:t>16%</w:t>
            </w:r>
          </w:p>
        </w:tc>
        <w:tc>
          <w:tcPr>
            <w:tcW w:w="1635" w:type="dxa"/>
          </w:tcPr>
          <w:p w:rsidR="0035244A" w:rsidRPr="00B6765D" w:rsidRDefault="0035244A" w:rsidP="00381B2B">
            <w:pPr>
              <w:rPr>
                <w:sz w:val="24"/>
                <w:szCs w:val="24"/>
              </w:rPr>
            </w:pPr>
            <w:r w:rsidRPr="00B6765D">
              <w:rPr>
                <w:sz w:val="24"/>
                <w:szCs w:val="24"/>
              </w:rPr>
              <w:t>7.2%</w:t>
            </w:r>
          </w:p>
        </w:tc>
      </w:tr>
    </w:tbl>
    <w:p w:rsidR="0035244A" w:rsidRPr="00B6765D" w:rsidRDefault="0035244A" w:rsidP="003C2D60">
      <w:pPr>
        <w:spacing w:after="120"/>
        <w:rPr>
          <w:sz w:val="24"/>
          <w:szCs w:val="24"/>
        </w:rPr>
      </w:pPr>
      <w:r w:rsidRPr="00B6765D">
        <w:rPr>
          <w:sz w:val="24"/>
          <w:szCs w:val="24"/>
        </w:rPr>
        <w:t>Girls are outperforming boys across both subjects</w:t>
      </w:r>
    </w:p>
    <w:p w:rsidR="00DD6769" w:rsidRDefault="00DD6769" w:rsidP="003C2D60">
      <w:pPr>
        <w:spacing w:after="120"/>
        <w:rPr>
          <w:b/>
          <w:sz w:val="24"/>
          <w:szCs w:val="24"/>
        </w:rPr>
      </w:pPr>
    </w:p>
    <w:p w:rsidR="0035244A" w:rsidRPr="00B6765D" w:rsidRDefault="0035244A" w:rsidP="003C2D60">
      <w:pPr>
        <w:spacing w:after="120"/>
        <w:rPr>
          <w:b/>
          <w:sz w:val="24"/>
          <w:szCs w:val="24"/>
        </w:rPr>
      </w:pPr>
      <w:r w:rsidRPr="00B6765D">
        <w:rPr>
          <w:b/>
          <w:sz w:val="24"/>
          <w:szCs w:val="24"/>
        </w:rPr>
        <w:t>Percentage of children achieving a Good Level of Development</w:t>
      </w:r>
    </w:p>
    <w:tbl>
      <w:tblPr>
        <w:tblStyle w:val="TableGrid"/>
        <w:tblW w:w="0" w:type="auto"/>
        <w:tblLook w:val="04A0" w:firstRow="1" w:lastRow="0" w:firstColumn="1" w:lastColumn="0" w:noHBand="0" w:noVBand="1"/>
      </w:tblPr>
      <w:tblGrid>
        <w:gridCol w:w="4508"/>
        <w:gridCol w:w="4508"/>
      </w:tblGrid>
      <w:tr w:rsidR="0035244A" w:rsidRPr="00B6765D" w:rsidTr="00381B2B">
        <w:tc>
          <w:tcPr>
            <w:tcW w:w="4508" w:type="dxa"/>
            <w:shd w:val="clear" w:color="auto" w:fill="FBE4D5" w:themeFill="accent2" w:themeFillTint="33"/>
          </w:tcPr>
          <w:p w:rsidR="0035244A" w:rsidRPr="00B6765D" w:rsidRDefault="0035244A" w:rsidP="00381B2B">
            <w:pPr>
              <w:rPr>
                <w:sz w:val="24"/>
                <w:szCs w:val="24"/>
              </w:rPr>
            </w:pPr>
            <w:r w:rsidRPr="00B6765D">
              <w:rPr>
                <w:sz w:val="24"/>
                <w:szCs w:val="24"/>
              </w:rPr>
              <w:t>School nationally</w:t>
            </w:r>
          </w:p>
        </w:tc>
        <w:tc>
          <w:tcPr>
            <w:tcW w:w="4508" w:type="dxa"/>
            <w:shd w:val="clear" w:color="auto" w:fill="FBE4D5" w:themeFill="accent2" w:themeFillTint="33"/>
          </w:tcPr>
          <w:p w:rsidR="0035244A" w:rsidRPr="00B6765D" w:rsidRDefault="0035244A" w:rsidP="00381B2B">
            <w:pPr>
              <w:rPr>
                <w:sz w:val="24"/>
                <w:szCs w:val="24"/>
              </w:rPr>
            </w:pPr>
            <w:proofErr w:type="spellStart"/>
            <w:r w:rsidRPr="00B6765D">
              <w:rPr>
                <w:sz w:val="24"/>
                <w:szCs w:val="24"/>
              </w:rPr>
              <w:t>Purbrook</w:t>
            </w:r>
            <w:proofErr w:type="spellEnd"/>
          </w:p>
        </w:tc>
      </w:tr>
      <w:tr w:rsidR="0035244A" w:rsidRPr="00B6765D" w:rsidTr="00381B2B">
        <w:tc>
          <w:tcPr>
            <w:tcW w:w="4508" w:type="dxa"/>
          </w:tcPr>
          <w:p w:rsidR="0035244A" w:rsidRPr="00B6765D" w:rsidRDefault="0035244A" w:rsidP="00381B2B">
            <w:pPr>
              <w:jc w:val="center"/>
              <w:rPr>
                <w:sz w:val="24"/>
                <w:szCs w:val="24"/>
              </w:rPr>
            </w:pPr>
            <w:r w:rsidRPr="00B6765D">
              <w:rPr>
                <w:sz w:val="24"/>
                <w:szCs w:val="24"/>
              </w:rPr>
              <w:t>71.6%</w:t>
            </w:r>
          </w:p>
        </w:tc>
        <w:tc>
          <w:tcPr>
            <w:tcW w:w="4508" w:type="dxa"/>
          </w:tcPr>
          <w:p w:rsidR="0035244A" w:rsidRPr="00B6765D" w:rsidRDefault="0035244A" w:rsidP="00381B2B">
            <w:pPr>
              <w:rPr>
                <w:sz w:val="24"/>
                <w:szCs w:val="24"/>
              </w:rPr>
            </w:pPr>
            <w:r w:rsidRPr="00B6765D">
              <w:rPr>
                <w:sz w:val="24"/>
                <w:szCs w:val="24"/>
              </w:rPr>
              <w:t>73.3%</w:t>
            </w:r>
          </w:p>
        </w:tc>
      </w:tr>
    </w:tbl>
    <w:p w:rsidR="0035244A" w:rsidRPr="00B6765D" w:rsidRDefault="0035244A" w:rsidP="0035244A">
      <w:pPr>
        <w:rPr>
          <w:b/>
          <w:sz w:val="24"/>
          <w:szCs w:val="24"/>
        </w:rPr>
      </w:pPr>
    </w:p>
    <w:p w:rsidR="0035244A" w:rsidRPr="00B6765D" w:rsidRDefault="0035244A" w:rsidP="003C2D60">
      <w:pPr>
        <w:spacing w:after="120"/>
        <w:rPr>
          <w:b/>
          <w:sz w:val="24"/>
          <w:szCs w:val="24"/>
        </w:rPr>
      </w:pPr>
      <w:r w:rsidRPr="00B6765D">
        <w:rPr>
          <w:b/>
          <w:sz w:val="24"/>
          <w:szCs w:val="24"/>
        </w:rPr>
        <w:t xml:space="preserve">Year 2 SATS Data at </w:t>
      </w:r>
      <w:proofErr w:type="spellStart"/>
      <w:r w:rsidRPr="00B6765D">
        <w:rPr>
          <w:b/>
          <w:sz w:val="24"/>
          <w:szCs w:val="24"/>
        </w:rPr>
        <w:t>Purbrook</w:t>
      </w:r>
      <w:proofErr w:type="spellEnd"/>
      <w:r w:rsidRPr="00B6765D">
        <w:rPr>
          <w:b/>
          <w:sz w:val="24"/>
          <w:szCs w:val="24"/>
        </w:rPr>
        <w:t xml:space="preserve"> Infant School September 2017 – July 2018</w:t>
      </w:r>
    </w:p>
    <w:tbl>
      <w:tblPr>
        <w:tblStyle w:val="TableGrid"/>
        <w:tblW w:w="0" w:type="auto"/>
        <w:tblLook w:val="04A0" w:firstRow="1" w:lastRow="0" w:firstColumn="1" w:lastColumn="0" w:noHBand="0" w:noVBand="1"/>
      </w:tblPr>
      <w:tblGrid>
        <w:gridCol w:w="2411"/>
        <w:gridCol w:w="1700"/>
        <w:gridCol w:w="1635"/>
      </w:tblGrid>
      <w:tr w:rsidR="0035244A" w:rsidRPr="00B6765D" w:rsidTr="00381B2B">
        <w:tc>
          <w:tcPr>
            <w:tcW w:w="2411" w:type="dxa"/>
            <w:shd w:val="clear" w:color="auto" w:fill="FBE4D5" w:themeFill="accent2" w:themeFillTint="33"/>
          </w:tcPr>
          <w:p w:rsidR="0035244A" w:rsidRPr="00B6765D" w:rsidRDefault="0035244A" w:rsidP="00381B2B">
            <w:pPr>
              <w:rPr>
                <w:b/>
                <w:sz w:val="24"/>
                <w:szCs w:val="24"/>
              </w:rPr>
            </w:pPr>
          </w:p>
        </w:tc>
        <w:tc>
          <w:tcPr>
            <w:tcW w:w="1700" w:type="dxa"/>
            <w:shd w:val="clear" w:color="auto" w:fill="FBE4D5" w:themeFill="accent2" w:themeFillTint="33"/>
          </w:tcPr>
          <w:p w:rsidR="0035244A" w:rsidRPr="00B6765D" w:rsidRDefault="0035244A" w:rsidP="00381B2B">
            <w:pPr>
              <w:rPr>
                <w:sz w:val="24"/>
                <w:szCs w:val="24"/>
              </w:rPr>
            </w:pPr>
            <w:r w:rsidRPr="00B6765D">
              <w:rPr>
                <w:sz w:val="24"/>
                <w:szCs w:val="24"/>
              </w:rPr>
              <w:t>National</w:t>
            </w:r>
          </w:p>
        </w:tc>
        <w:tc>
          <w:tcPr>
            <w:tcW w:w="1635" w:type="dxa"/>
            <w:shd w:val="clear" w:color="auto" w:fill="FBE4D5" w:themeFill="accent2" w:themeFillTint="33"/>
          </w:tcPr>
          <w:p w:rsidR="0035244A" w:rsidRPr="00B6765D" w:rsidRDefault="0035244A" w:rsidP="00381B2B">
            <w:pPr>
              <w:rPr>
                <w:sz w:val="24"/>
                <w:szCs w:val="24"/>
              </w:rPr>
            </w:pPr>
            <w:proofErr w:type="spellStart"/>
            <w:r w:rsidRPr="00B6765D">
              <w:rPr>
                <w:sz w:val="24"/>
                <w:szCs w:val="24"/>
              </w:rPr>
              <w:t>Purbrook</w:t>
            </w:r>
            <w:proofErr w:type="spellEnd"/>
          </w:p>
        </w:tc>
      </w:tr>
      <w:tr w:rsidR="0035244A" w:rsidRPr="00B6765D" w:rsidTr="00381B2B">
        <w:tc>
          <w:tcPr>
            <w:tcW w:w="2411" w:type="dxa"/>
          </w:tcPr>
          <w:p w:rsidR="0035244A" w:rsidRPr="00B6765D" w:rsidRDefault="0035244A" w:rsidP="00381B2B">
            <w:pPr>
              <w:rPr>
                <w:sz w:val="24"/>
                <w:szCs w:val="24"/>
              </w:rPr>
            </w:pPr>
            <w:r w:rsidRPr="00B6765D">
              <w:rPr>
                <w:sz w:val="24"/>
                <w:szCs w:val="24"/>
              </w:rPr>
              <w:t xml:space="preserve">Reading </w:t>
            </w:r>
          </w:p>
        </w:tc>
        <w:tc>
          <w:tcPr>
            <w:tcW w:w="1700" w:type="dxa"/>
          </w:tcPr>
          <w:p w:rsidR="0035244A" w:rsidRPr="00B6765D" w:rsidRDefault="0035244A" w:rsidP="00381B2B">
            <w:pPr>
              <w:rPr>
                <w:sz w:val="24"/>
                <w:szCs w:val="24"/>
              </w:rPr>
            </w:pPr>
            <w:r w:rsidRPr="00B6765D">
              <w:rPr>
                <w:sz w:val="24"/>
                <w:szCs w:val="24"/>
              </w:rPr>
              <w:t>75%</w:t>
            </w:r>
          </w:p>
        </w:tc>
        <w:tc>
          <w:tcPr>
            <w:tcW w:w="1635" w:type="dxa"/>
          </w:tcPr>
          <w:p w:rsidR="0035244A" w:rsidRPr="00B6765D" w:rsidRDefault="0035244A" w:rsidP="00381B2B">
            <w:pPr>
              <w:rPr>
                <w:sz w:val="24"/>
                <w:szCs w:val="24"/>
              </w:rPr>
            </w:pPr>
            <w:r w:rsidRPr="00B6765D">
              <w:rPr>
                <w:sz w:val="24"/>
                <w:szCs w:val="24"/>
              </w:rPr>
              <w:t>89%</w:t>
            </w:r>
          </w:p>
        </w:tc>
      </w:tr>
      <w:tr w:rsidR="0035244A" w:rsidRPr="00B6765D" w:rsidTr="00381B2B">
        <w:tc>
          <w:tcPr>
            <w:tcW w:w="2411" w:type="dxa"/>
          </w:tcPr>
          <w:p w:rsidR="0035244A" w:rsidRPr="00B6765D" w:rsidRDefault="0035244A" w:rsidP="00381B2B">
            <w:pPr>
              <w:rPr>
                <w:sz w:val="24"/>
                <w:szCs w:val="24"/>
              </w:rPr>
            </w:pPr>
            <w:r w:rsidRPr="00B6765D">
              <w:rPr>
                <w:sz w:val="24"/>
                <w:szCs w:val="24"/>
              </w:rPr>
              <w:t>Writing</w:t>
            </w:r>
          </w:p>
        </w:tc>
        <w:tc>
          <w:tcPr>
            <w:tcW w:w="1700" w:type="dxa"/>
          </w:tcPr>
          <w:p w:rsidR="0035244A" w:rsidRPr="00B6765D" w:rsidRDefault="0035244A" w:rsidP="00381B2B">
            <w:pPr>
              <w:rPr>
                <w:sz w:val="24"/>
                <w:szCs w:val="24"/>
              </w:rPr>
            </w:pPr>
            <w:r w:rsidRPr="00B6765D">
              <w:rPr>
                <w:sz w:val="24"/>
                <w:szCs w:val="24"/>
              </w:rPr>
              <w:t>70%</w:t>
            </w:r>
          </w:p>
        </w:tc>
        <w:tc>
          <w:tcPr>
            <w:tcW w:w="1635" w:type="dxa"/>
          </w:tcPr>
          <w:p w:rsidR="0035244A" w:rsidRPr="00B6765D" w:rsidRDefault="0035244A" w:rsidP="00381B2B">
            <w:pPr>
              <w:rPr>
                <w:sz w:val="24"/>
                <w:szCs w:val="24"/>
              </w:rPr>
            </w:pPr>
            <w:r w:rsidRPr="00B6765D">
              <w:rPr>
                <w:sz w:val="24"/>
                <w:szCs w:val="24"/>
              </w:rPr>
              <w:t>78%</w:t>
            </w:r>
          </w:p>
        </w:tc>
      </w:tr>
      <w:tr w:rsidR="0035244A" w:rsidRPr="00B6765D" w:rsidTr="00381B2B">
        <w:tc>
          <w:tcPr>
            <w:tcW w:w="2411" w:type="dxa"/>
          </w:tcPr>
          <w:p w:rsidR="0035244A" w:rsidRPr="00B6765D" w:rsidRDefault="0035244A" w:rsidP="00381B2B">
            <w:pPr>
              <w:rPr>
                <w:sz w:val="24"/>
                <w:szCs w:val="24"/>
              </w:rPr>
            </w:pPr>
            <w:r w:rsidRPr="00B6765D">
              <w:rPr>
                <w:sz w:val="24"/>
                <w:szCs w:val="24"/>
              </w:rPr>
              <w:t>Maths</w:t>
            </w:r>
          </w:p>
        </w:tc>
        <w:tc>
          <w:tcPr>
            <w:tcW w:w="1700" w:type="dxa"/>
          </w:tcPr>
          <w:p w:rsidR="0035244A" w:rsidRPr="00B6765D" w:rsidRDefault="0035244A" w:rsidP="00381B2B">
            <w:pPr>
              <w:rPr>
                <w:sz w:val="24"/>
                <w:szCs w:val="24"/>
              </w:rPr>
            </w:pPr>
            <w:r w:rsidRPr="00B6765D">
              <w:rPr>
                <w:sz w:val="24"/>
                <w:szCs w:val="24"/>
              </w:rPr>
              <w:t>76%</w:t>
            </w:r>
          </w:p>
        </w:tc>
        <w:tc>
          <w:tcPr>
            <w:tcW w:w="1635" w:type="dxa"/>
          </w:tcPr>
          <w:p w:rsidR="0035244A" w:rsidRPr="00B6765D" w:rsidRDefault="0035244A" w:rsidP="00381B2B">
            <w:pPr>
              <w:rPr>
                <w:sz w:val="24"/>
                <w:szCs w:val="24"/>
              </w:rPr>
            </w:pPr>
            <w:r w:rsidRPr="00B6765D">
              <w:rPr>
                <w:sz w:val="24"/>
                <w:szCs w:val="24"/>
              </w:rPr>
              <w:t>84%</w:t>
            </w:r>
          </w:p>
        </w:tc>
      </w:tr>
    </w:tbl>
    <w:p w:rsidR="0035244A" w:rsidRPr="00B6765D" w:rsidRDefault="0035244A" w:rsidP="0035244A">
      <w:pPr>
        <w:rPr>
          <w:b/>
          <w:sz w:val="24"/>
          <w:szCs w:val="24"/>
        </w:rPr>
      </w:pPr>
    </w:p>
    <w:p w:rsidR="0035244A" w:rsidRPr="00B6765D" w:rsidRDefault="0035244A" w:rsidP="003C2D60">
      <w:pPr>
        <w:spacing w:after="120"/>
        <w:rPr>
          <w:b/>
          <w:sz w:val="24"/>
          <w:szCs w:val="24"/>
        </w:rPr>
      </w:pPr>
      <w:r w:rsidRPr="00B6765D">
        <w:rPr>
          <w:b/>
          <w:sz w:val="24"/>
          <w:szCs w:val="24"/>
        </w:rPr>
        <w:t>Gender differences in Key Stage 1</w:t>
      </w:r>
    </w:p>
    <w:tbl>
      <w:tblPr>
        <w:tblStyle w:val="TableGrid"/>
        <w:tblW w:w="0" w:type="auto"/>
        <w:tblLook w:val="04A0" w:firstRow="1" w:lastRow="0" w:firstColumn="1" w:lastColumn="0" w:noHBand="0" w:noVBand="1"/>
      </w:tblPr>
      <w:tblGrid>
        <w:gridCol w:w="2411"/>
        <w:gridCol w:w="1700"/>
        <w:gridCol w:w="1635"/>
        <w:gridCol w:w="1635"/>
      </w:tblGrid>
      <w:tr w:rsidR="0035244A" w:rsidRPr="00B6765D" w:rsidTr="00381B2B">
        <w:tc>
          <w:tcPr>
            <w:tcW w:w="2411" w:type="dxa"/>
            <w:shd w:val="clear" w:color="auto" w:fill="FBE4D5" w:themeFill="accent2" w:themeFillTint="33"/>
          </w:tcPr>
          <w:p w:rsidR="0035244A" w:rsidRPr="00B6765D" w:rsidRDefault="0035244A" w:rsidP="00381B2B">
            <w:pPr>
              <w:rPr>
                <w:b/>
                <w:sz w:val="24"/>
                <w:szCs w:val="24"/>
              </w:rPr>
            </w:pPr>
          </w:p>
        </w:tc>
        <w:tc>
          <w:tcPr>
            <w:tcW w:w="1700" w:type="dxa"/>
            <w:shd w:val="clear" w:color="auto" w:fill="FBE4D5" w:themeFill="accent2" w:themeFillTint="33"/>
          </w:tcPr>
          <w:p w:rsidR="0035244A" w:rsidRPr="00B6765D" w:rsidRDefault="0035244A" w:rsidP="00381B2B">
            <w:pPr>
              <w:rPr>
                <w:sz w:val="24"/>
                <w:szCs w:val="24"/>
              </w:rPr>
            </w:pPr>
            <w:r w:rsidRPr="00B6765D">
              <w:rPr>
                <w:sz w:val="24"/>
                <w:szCs w:val="24"/>
              </w:rPr>
              <w:t>Girls</w:t>
            </w:r>
          </w:p>
        </w:tc>
        <w:tc>
          <w:tcPr>
            <w:tcW w:w="1635" w:type="dxa"/>
            <w:shd w:val="clear" w:color="auto" w:fill="FBE4D5" w:themeFill="accent2" w:themeFillTint="33"/>
          </w:tcPr>
          <w:p w:rsidR="0035244A" w:rsidRPr="00B6765D" w:rsidRDefault="0035244A" w:rsidP="00381B2B">
            <w:pPr>
              <w:rPr>
                <w:sz w:val="24"/>
                <w:szCs w:val="24"/>
              </w:rPr>
            </w:pPr>
            <w:r w:rsidRPr="00B6765D">
              <w:rPr>
                <w:sz w:val="24"/>
                <w:szCs w:val="24"/>
              </w:rPr>
              <w:t>Boys</w:t>
            </w:r>
          </w:p>
        </w:tc>
        <w:tc>
          <w:tcPr>
            <w:tcW w:w="1635" w:type="dxa"/>
            <w:shd w:val="clear" w:color="auto" w:fill="FBE4D5" w:themeFill="accent2" w:themeFillTint="33"/>
          </w:tcPr>
          <w:p w:rsidR="0035244A" w:rsidRPr="00B6765D" w:rsidRDefault="0035244A" w:rsidP="00381B2B">
            <w:pPr>
              <w:rPr>
                <w:sz w:val="24"/>
                <w:szCs w:val="24"/>
              </w:rPr>
            </w:pPr>
            <w:r w:rsidRPr="00B6765D">
              <w:rPr>
                <w:sz w:val="24"/>
                <w:szCs w:val="24"/>
              </w:rPr>
              <w:t>Difference</w:t>
            </w:r>
          </w:p>
        </w:tc>
      </w:tr>
      <w:tr w:rsidR="0035244A" w:rsidRPr="00B6765D" w:rsidTr="00381B2B">
        <w:tc>
          <w:tcPr>
            <w:tcW w:w="2411" w:type="dxa"/>
          </w:tcPr>
          <w:p w:rsidR="0035244A" w:rsidRPr="00B6765D" w:rsidRDefault="0035244A" w:rsidP="00381B2B">
            <w:pPr>
              <w:rPr>
                <w:sz w:val="24"/>
                <w:szCs w:val="24"/>
              </w:rPr>
            </w:pPr>
            <w:r w:rsidRPr="00B6765D">
              <w:rPr>
                <w:sz w:val="24"/>
                <w:szCs w:val="24"/>
              </w:rPr>
              <w:t xml:space="preserve">Reading </w:t>
            </w:r>
          </w:p>
        </w:tc>
        <w:tc>
          <w:tcPr>
            <w:tcW w:w="1700" w:type="dxa"/>
          </w:tcPr>
          <w:p w:rsidR="0035244A" w:rsidRPr="00B6765D" w:rsidRDefault="0035244A" w:rsidP="00381B2B">
            <w:pPr>
              <w:rPr>
                <w:sz w:val="24"/>
                <w:szCs w:val="24"/>
              </w:rPr>
            </w:pPr>
            <w:r w:rsidRPr="00B6765D">
              <w:rPr>
                <w:sz w:val="24"/>
                <w:szCs w:val="24"/>
              </w:rPr>
              <w:t>98%</w:t>
            </w:r>
          </w:p>
        </w:tc>
        <w:tc>
          <w:tcPr>
            <w:tcW w:w="1635" w:type="dxa"/>
          </w:tcPr>
          <w:p w:rsidR="0035244A" w:rsidRPr="00B6765D" w:rsidRDefault="0035244A" w:rsidP="00381B2B">
            <w:pPr>
              <w:rPr>
                <w:sz w:val="24"/>
                <w:szCs w:val="24"/>
              </w:rPr>
            </w:pPr>
            <w:r w:rsidRPr="00B6765D">
              <w:rPr>
                <w:sz w:val="24"/>
                <w:szCs w:val="24"/>
              </w:rPr>
              <w:t>82%</w:t>
            </w:r>
          </w:p>
        </w:tc>
        <w:tc>
          <w:tcPr>
            <w:tcW w:w="1635" w:type="dxa"/>
          </w:tcPr>
          <w:p w:rsidR="0035244A" w:rsidRPr="00B6765D" w:rsidRDefault="00DD6769" w:rsidP="00381B2B">
            <w:pPr>
              <w:rPr>
                <w:sz w:val="24"/>
                <w:szCs w:val="24"/>
              </w:rPr>
            </w:pPr>
            <w:r>
              <w:rPr>
                <w:sz w:val="24"/>
                <w:szCs w:val="24"/>
              </w:rPr>
              <w:t>16%</w:t>
            </w:r>
          </w:p>
        </w:tc>
      </w:tr>
      <w:tr w:rsidR="0035244A" w:rsidRPr="00B6765D" w:rsidTr="00381B2B">
        <w:tc>
          <w:tcPr>
            <w:tcW w:w="2411" w:type="dxa"/>
          </w:tcPr>
          <w:p w:rsidR="0035244A" w:rsidRPr="00B6765D" w:rsidRDefault="0035244A" w:rsidP="00381B2B">
            <w:pPr>
              <w:rPr>
                <w:sz w:val="24"/>
                <w:szCs w:val="24"/>
              </w:rPr>
            </w:pPr>
            <w:r w:rsidRPr="00B6765D">
              <w:rPr>
                <w:sz w:val="24"/>
                <w:szCs w:val="24"/>
              </w:rPr>
              <w:t>Writing</w:t>
            </w:r>
          </w:p>
        </w:tc>
        <w:tc>
          <w:tcPr>
            <w:tcW w:w="1700" w:type="dxa"/>
          </w:tcPr>
          <w:p w:rsidR="0035244A" w:rsidRPr="00B6765D" w:rsidRDefault="0035244A" w:rsidP="00381B2B">
            <w:pPr>
              <w:rPr>
                <w:sz w:val="24"/>
                <w:szCs w:val="24"/>
              </w:rPr>
            </w:pPr>
            <w:r w:rsidRPr="00B6765D">
              <w:rPr>
                <w:sz w:val="24"/>
                <w:szCs w:val="24"/>
              </w:rPr>
              <w:t>90%</w:t>
            </w:r>
          </w:p>
        </w:tc>
        <w:tc>
          <w:tcPr>
            <w:tcW w:w="1635" w:type="dxa"/>
          </w:tcPr>
          <w:p w:rsidR="0035244A" w:rsidRPr="00B6765D" w:rsidRDefault="0035244A" w:rsidP="00381B2B">
            <w:pPr>
              <w:rPr>
                <w:sz w:val="24"/>
                <w:szCs w:val="24"/>
              </w:rPr>
            </w:pPr>
            <w:r w:rsidRPr="00B6765D">
              <w:rPr>
                <w:sz w:val="24"/>
                <w:szCs w:val="24"/>
              </w:rPr>
              <w:t>69%</w:t>
            </w:r>
          </w:p>
        </w:tc>
        <w:tc>
          <w:tcPr>
            <w:tcW w:w="1635" w:type="dxa"/>
          </w:tcPr>
          <w:p w:rsidR="0035244A" w:rsidRPr="00B6765D" w:rsidRDefault="00DD6769" w:rsidP="00381B2B">
            <w:pPr>
              <w:rPr>
                <w:sz w:val="24"/>
                <w:szCs w:val="24"/>
              </w:rPr>
            </w:pPr>
            <w:r>
              <w:rPr>
                <w:sz w:val="24"/>
                <w:szCs w:val="24"/>
              </w:rPr>
              <w:t>21%</w:t>
            </w:r>
          </w:p>
        </w:tc>
      </w:tr>
      <w:tr w:rsidR="0035244A" w:rsidRPr="00B6765D" w:rsidTr="00381B2B">
        <w:tc>
          <w:tcPr>
            <w:tcW w:w="2411" w:type="dxa"/>
          </w:tcPr>
          <w:p w:rsidR="0035244A" w:rsidRPr="00B6765D" w:rsidRDefault="0035244A" w:rsidP="00381B2B">
            <w:pPr>
              <w:rPr>
                <w:sz w:val="24"/>
                <w:szCs w:val="24"/>
              </w:rPr>
            </w:pPr>
            <w:r w:rsidRPr="00B6765D">
              <w:rPr>
                <w:sz w:val="24"/>
                <w:szCs w:val="24"/>
              </w:rPr>
              <w:t>Maths</w:t>
            </w:r>
          </w:p>
        </w:tc>
        <w:tc>
          <w:tcPr>
            <w:tcW w:w="1700" w:type="dxa"/>
          </w:tcPr>
          <w:p w:rsidR="0035244A" w:rsidRPr="00B6765D" w:rsidRDefault="0035244A" w:rsidP="00381B2B">
            <w:pPr>
              <w:rPr>
                <w:sz w:val="24"/>
                <w:szCs w:val="24"/>
              </w:rPr>
            </w:pPr>
            <w:r w:rsidRPr="00B6765D">
              <w:rPr>
                <w:sz w:val="24"/>
                <w:szCs w:val="24"/>
              </w:rPr>
              <w:t>85%</w:t>
            </w:r>
          </w:p>
        </w:tc>
        <w:tc>
          <w:tcPr>
            <w:tcW w:w="1635" w:type="dxa"/>
          </w:tcPr>
          <w:p w:rsidR="0035244A" w:rsidRPr="00DD6769" w:rsidRDefault="0035244A" w:rsidP="00381B2B">
            <w:pPr>
              <w:rPr>
                <w:sz w:val="24"/>
                <w:szCs w:val="24"/>
              </w:rPr>
            </w:pPr>
            <w:r w:rsidRPr="00DD6769">
              <w:rPr>
                <w:sz w:val="24"/>
                <w:szCs w:val="24"/>
              </w:rPr>
              <w:t>82%</w:t>
            </w:r>
          </w:p>
        </w:tc>
        <w:tc>
          <w:tcPr>
            <w:tcW w:w="1635" w:type="dxa"/>
          </w:tcPr>
          <w:p w:rsidR="0035244A" w:rsidRPr="00DD6769" w:rsidRDefault="00DD6769" w:rsidP="00381B2B">
            <w:pPr>
              <w:rPr>
                <w:sz w:val="24"/>
                <w:szCs w:val="24"/>
              </w:rPr>
            </w:pPr>
            <w:r w:rsidRPr="00DD6769">
              <w:rPr>
                <w:sz w:val="24"/>
                <w:szCs w:val="24"/>
              </w:rPr>
              <w:t>3%</w:t>
            </w:r>
          </w:p>
        </w:tc>
      </w:tr>
    </w:tbl>
    <w:p w:rsidR="0035244A" w:rsidRPr="00B6765D" w:rsidRDefault="0035244A" w:rsidP="00065D1E">
      <w:pPr>
        <w:spacing w:before="120" w:after="120"/>
        <w:rPr>
          <w:b/>
          <w:sz w:val="24"/>
          <w:szCs w:val="24"/>
        </w:rPr>
      </w:pPr>
      <w:r w:rsidRPr="00B6765D">
        <w:rPr>
          <w:b/>
          <w:sz w:val="24"/>
          <w:szCs w:val="24"/>
        </w:rPr>
        <w:t xml:space="preserve">Girls are out performing at </w:t>
      </w:r>
      <w:proofErr w:type="spellStart"/>
      <w:r w:rsidRPr="00B6765D">
        <w:rPr>
          <w:b/>
          <w:sz w:val="24"/>
          <w:szCs w:val="24"/>
        </w:rPr>
        <w:t>Purbrook</w:t>
      </w:r>
      <w:proofErr w:type="spellEnd"/>
      <w:r w:rsidRPr="00B6765D">
        <w:rPr>
          <w:b/>
          <w:sz w:val="24"/>
          <w:szCs w:val="24"/>
        </w:rPr>
        <w:t xml:space="preserve"> </w:t>
      </w:r>
    </w:p>
    <w:p w:rsidR="00DD6769" w:rsidRDefault="00DD6769" w:rsidP="00065D1E">
      <w:pPr>
        <w:spacing w:after="120"/>
        <w:rPr>
          <w:b/>
          <w:sz w:val="24"/>
          <w:szCs w:val="24"/>
        </w:rPr>
      </w:pPr>
    </w:p>
    <w:p w:rsidR="0035244A" w:rsidRPr="00B6765D" w:rsidRDefault="0035244A" w:rsidP="00065D1E">
      <w:pPr>
        <w:spacing w:after="120"/>
        <w:rPr>
          <w:sz w:val="24"/>
          <w:szCs w:val="24"/>
        </w:rPr>
      </w:pPr>
      <w:r w:rsidRPr="00B6765D">
        <w:rPr>
          <w:b/>
          <w:sz w:val="24"/>
          <w:szCs w:val="24"/>
        </w:rPr>
        <w:t>Attendance data for 2017 – 2018</w:t>
      </w:r>
      <w:r w:rsidRPr="00B6765D">
        <w:rPr>
          <w:sz w:val="24"/>
          <w:szCs w:val="24"/>
        </w:rPr>
        <w:t xml:space="preserve"> </w:t>
      </w:r>
    </w:p>
    <w:p w:rsidR="0035244A" w:rsidRPr="00B6765D" w:rsidRDefault="0035244A" w:rsidP="0035244A">
      <w:pPr>
        <w:rPr>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35244A" w:rsidRPr="00B6765D" w:rsidTr="00381B2B">
        <w:tc>
          <w:tcPr>
            <w:tcW w:w="2254" w:type="dxa"/>
            <w:shd w:val="clear" w:color="auto" w:fill="FBE4D5" w:themeFill="accent2" w:themeFillTint="33"/>
          </w:tcPr>
          <w:p w:rsidR="0035244A" w:rsidRPr="00B6765D" w:rsidRDefault="0035244A" w:rsidP="00381B2B">
            <w:pPr>
              <w:rPr>
                <w:sz w:val="24"/>
                <w:szCs w:val="24"/>
              </w:rPr>
            </w:pPr>
            <w:r w:rsidRPr="00B6765D">
              <w:rPr>
                <w:sz w:val="24"/>
                <w:szCs w:val="24"/>
              </w:rPr>
              <w:t>Whole school</w:t>
            </w:r>
          </w:p>
        </w:tc>
        <w:tc>
          <w:tcPr>
            <w:tcW w:w="2254" w:type="dxa"/>
            <w:shd w:val="clear" w:color="auto" w:fill="FBE4D5" w:themeFill="accent2" w:themeFillTint="33"/>
          </w:tcPr>
          <w:p w:rsidR="0035244A" w:rsidRPr="00B6765D" w:rsidRDefault="0035244A" w:rsidP="00381B2B">
            <w:pPr>
              <w:rPr>
                <w:sz w:val="24"/>
                <w:szCs w:val="24"/>
              </w:rPr>
            </w:pPr>
            <w:r w:rsidRPr="00B6765D">
              <w:rPr>
                <w:sz w:val="24"/>
                <w:szCs w:val="24"/>
              </w:rPr>
              <w:t>Boys</w:t>
            </w:r>
          </w:p>
        </w:tc>
        <w:tc>
          <w:tcPr>
            <w:tcW w:w="2254" w:type="dxa"/>
            <w:shd w:val="clear" w:color="auto" w:fill="FBE4D5" w:themeFill="accent2" w:themeFillTint="33"/>
          </w:tcPr>
          <w:p w:rsidR="0035244A" w:rsidRPr="00B6765D" w:rsidRDefault="0035244A" w:rsidP="00381B2B">
            <w:pPr>
              <w:rPr>
                <w:sz w:val="24"/>
                <w:szCs w:val="24"/>
              </w:rPr>
            </w:pPr>
            <w:r w:rsidRPr="00B6765D">
              <w:rPr>
                <w:sz w:val="24"/>
                <w:szCs w:val="24"/>
              </w:rPr>
              <w:t>Girls</w:t>
            </w:r>
          </w:p>
        </w:tc>
        <w:tc>
          <w:tcPr>
            <w:tcW w:w="2254" w:type="dxa"/>
            <w:shd w:val="clear" w:color="auto" w:fill="FBE4D5" w:themeFill="accent2" w:themeFillTint="33"/>
          </w:tcPr>
          <w:p w:rsidR="0035244A" w:rsidRPr="00B6765D" w:rsidRDefault="0035244A" w:rsidP="00381B2B">
            <w:pPr>
              <w:rPr>
                <w:sz w:val="24"/>
                <w:szCs w:val="24"/>
              </w:rPr>
            </w:pPr>
            <w:r w:rsidRPr="00B6765D">
              <w:rPr>
                <w:sz w:val="24"/>
                <w:szCs w:val="24"/>
              </w:rPr>
              <w:t>Difference</w:t>
            </w:r>
          </w:p>
        </w:tc>
      </w:tr>
      <w:tr w:rsidR="0035244A" w:rsidRPr="00B6765D" w:rsidTr="00381B2B">
        <w:tc>
          <w:tcPr>
            <w:tcW w:w="2254" w:type="dxa"/>
          </w:tcPr>
          <w:p w:rsidR="0035244A" w:rsidRPr="00B6765D" w:rsidRDefault="00DD6769" w:rsidP="00381B2B">
            <w:pPr>
              <w:rPr>
                <w:sz w:val="24"/>
                <w:szCs w:val="24"/>
              </w:rPr>
            </w:pPr>
            <w:r>
              <w:rPr>
                <w:sz w:val="24"/>
                <w:szCs w:val="24"/>
              </w:rPr>
              <w:t>95.3</w:t>
            </w:r>
          </w:p>
        </w:tc>
        <w:tc>
          <w:tcPr>
            <w:tcW w:w="2254" w:type="dxa"/>
          </w:tcPr>
          <w:p w:rsidR="0035244A" w:rsidRPr="00B6765D" w:rsidRDefault="00DD6769" w:rsidP="00381B2B">
            <w:pPr>
              <w:rPr>
                <w:sz w:val="24"/>
                <w:szCs w:val="24"/>
              </w:rPr>
            </w:pPr>
            <w:r>
              <w:rPr>
                <w:sz w:val="24"/>
                <w:szCs w:val="24"/>
              </w:rPr>
              <w:t>95.4</w:t>
            </w:r>
          </w:p>
        </w:tc>
        <w:tc>
          <w:tcPr>
            <w:tcW w:w="2254" w:type="dxa"/>
          </w:tcPr>
          <w:p w:rsidR="0035244A" w:rsidRPr="00B6765D" w:rsidRDefault="00DD6769" w:rsidP="00381B2B">
            <w:pPr>
              <w:rPr>
                <w:sz w:val="24"/>
                <w:szCs w:val="24"/>
              </w:rPr>
            </w:pPr>
            <w:r>
              <w:rPr>
                <w:sz w:val="24"/>
                <w:szCs w:val="24"/>
              </w:rPr>
              <w:t>95.2</w:t>
            </w:r>
          </w:p>
        </w:tc>
        <w:tc>
          <w:tcPr>
            <w:tcW w:w="2254" w:type="dxa"/>
          </w:tcPr>
          <w:p w:rsidR="0035244A" w:rsidRPr="00B6765D" w:rsidRDefault="00DD6769" w:rsidP="00381B2B">
            <w:pPr>
              <w:rPr>
                <w:sz w:val="24"/>
                <w:szCs w:val="24"/>
              </w:rPr>
            </w:pPr>
            <w:r>
              <w:rPr>
                <w:sz w:val="24"/>
                <w:szCs w:val="24"/>
              </w:rPr>
              <w:t>0.2</w:t>
            </w:r>
          </w:p>
        </w:tc>
      </w:tr>
    </w:tbl>
    <w:p w:rsidR="0035244A" w:rsidRPr="00B6765D" w:rsidRDefault="0035244A" w:rsidP="0035244A">
      <w:pPr>
        <w:rPr>
          <w:sz w:val="24"/>
          <w:szCs w:val="24"/>
        </w:rPr>
      </w:pPr>
    </w:p>
    <w:p w:rsidR="0035244A" w:rsidRPr="00B6765D" w:rsidRDefault="0035244A" w:rsidP="0035244A">
      <w:pPr>
        <w:rPr>
          <w:sz w:val="24"/>
          <w:szCs w:val="24"/>
        </w:rPr>
      </w:pPr>
      <w:r w:rsidRPr="00B6765D">
        <w:rPr>
          <w:b/>
          <w:sz w:val="24"/>
          <w:szCs w:val="24"/>
        </w:rPr>
        <w:t>Rates for exclusion for 2017 – 2018</w:t>
      </w:r>
      <w:r w:rsidRPr="00B6765D">
        <w:rPr>
          <w:sz w:val="24"/>
          <w:szCs w:val="24"/>
        </w:rPr>
        <w:t xml:space="preserve"> </w:t>
      </w:r>
    </w:p>
    <w:p w:rsidR="0035244A" w:rsidRPr="00B6765D" w:rsidRDefault="00DD6769" w:rsidP="00E705A1">
      <w:pPr>
        <w:spacing w:after="120"/>
        <w:rPr>
          <w:sz w:val="24"/>
          <w:szCs w:val="24"/>
        </w:rPr>
      </w:pPr>
      <w:r>
        <w:rPr>
          <w:sz w:val="24"/>
          <w:szCs w:val="24"/>
        </w:rPr>
        <w:t>3</w:t>
      </w:r>
    </w:p>
    <w:p w:rsidR="0035244A" w:rsidRPr="00B6765D" w:rsidRDefault="0035244A" w:rsidP="0035244A">
      <w:pPr>
        <w:rPr>
          <w:b/>
          <w:sz w:val="24"/>
          <w:szCs w:val="24"/>
        </w:rPr>
      </w:pPr>
      <w:r w:rsidRPr="00B6765D">
        <w:rPr>
          <w:b/>
          <w:sz w:val="24"/>
          <w:szCs w:val="24"/>
        </w:rPr>
        <w:t>Rates of bullying/ harassment</w:t>
      </w:r>
    </w:p>
    <w:p w:rsidR="0035244A" w:rsidRPr="00B6765D" w:rsidRDefault="0035244A" w:rsidP="00E705A1">
      <w:pPr>
        <w:spacing w:after="120"/>
        <w:rPr>
          <w:sz w:val="24"/>
          <w:szCs w:val="24"/>
        </w:rPr>
      </w:pPr>
      <w:r w:rsidRPr="00B6765D">
        <w:rPr>
          <w:sz w:val="24"/>
          <w:szCs w:val="24"/>
        </w:rPr>
        <w:t>Nil</w:t>
      </w:r>
    </w:p>
    <w:p w:rsidR="0035244A" w:rsidRPr="00B6765D" w:rsidRDefault="0035244A" w:rsidP="0035244A">
      <w:pPr>
        <w:rPr>
          <w:sz w:val="24"/>
          <w:szCs w:val="24"/>
        </w:rPr>
      </w:pPr>
      <w:r w:rsidRPr="00B6765D">
        <w:rPr>
          <w:b/>
          <w:sz w:val="24"/>
          <w:szCs w:val="24"/>
        </w:rPr>
        <w:t>behaviour related incidents 2017 – 2018</w:t>
      </w:r>
      <w:r w:rsidRPr="00B6765D">
        <w:rPr>
          <w:sz w:val="24"/>
          <w:szCs w:val="24"/>
        </w:rPr>
        <w:t xml:space="preserve"> – </w:t>
      </w:r>
    </w:p>
    <w:p w:rsidR="0035244A" w:rsidRPr="00B6765D" w:rsidRDefault="00DD6769" w:rsidP="00E705A1">
      <w:pPr>
        <w:spacing w:after="120"/>
        <w:rPr>
          <w:sz w:val="24"/>
          <w:szCs w:val="24"/>
        </w:rPr>
      </w:pPr>
      <w:r>
        <w:rPr>
          <w:sz w:val="24"/>
          <w:szCs w:val="24"/>
        </w:rPr>
        <w:t>41</w:t>
      </w:r>
      <w:r w:rsidR="0035244A" w:rsidRPr="00B6765D">
        <w:rPr>
          <w:sz w:val="24"/>
          <w:szCs w:val="24"/>
        </w:rPr>
        <w:t xml:space="preserve">  </w:t>
      </w:r>
      <w:bookmarkStart w:id="0" w:name="_GoBack"/>
      <w:bookmarkEnd w:id="0"/>
    </w:p>
    <w:p w:rsidR="0035244A" w:rsidRPr="00B6765D" w:rsidRDefault="0035244A" w:rsidP="0035244A">
      <w:pPr>
        <w:rPr>
          <w:sz w:val="24"/>
          <w:szCs w:val="24"/>
        </w:rPr>
      </w:pPr>
      <w:r w:rsidRPr="00B6765D">
        <w:rPr>
          <w:b/>
          <w:sz w:val="24"/>
          <w:szCs w:val="24"/>
        </w:rPr>
        <w:t>Number of racist incidences recorded</w:t>
      </w:r>
    </w:p>
    <w:p w:rsidR="0035244A" w:rsidRPr="00B6765D" w:rsidRDefault="0035244A" w:rsidP="00E705A1">
      <w:pPr>
        <w:spacing w:after="120"/>
        <w:rPr>
          <w:sz w:val="24"/>
          <w:szCs w:val="24"/>
        </w:rPr>
      </w:pPr>
      <w:r w:rsidRPr="00B6765D">
        <w:rPr>
          <w:sz w:val="24"/>
          <w:szCs w:val="24"/>
        </w:rPr>
        <w:t>Nil</w:t>
      </w:r>
    </w:p>
    <w:p w:rsidR="0035244A" w:rsidRPr="00B6765D" w:rsidRDefault="0035244A" w:rsidP="0035244A">
      <w:pPr>
        <w:rPr>
          <w:sz w:val="24"/>
          <w:szCs w:val="24"/>
        </w:rPr>
      </w:pPr>
      <w:r w:rsidRPr="00B6765D">
        <w:rPr>
          <w:b/>
          <w:sz w:val="24"/>
          <w:szCs w:val="24"/>
        </w:rPr>
        <w:t>Staff data</w:t>
      </w:r>
      <w:r w:rsidRPr="00B6765D">
        <w:rPr>
          <w:sz w:val="24"/>
          <w:szCs w:val="24"/>
        </w:rPr>
        <w:t xml:space="preserve"> </w:t>
      </w:r>
    </w:p>
    <w:p w:rsidR="0035244A" w:rsidRPr="00B6765D" w:rsidRDefault="0035244A" w:rsidP="0035244A">
      <w:pPr>
        <w:jc w:val="both"/>
        <w:rPr>
          <w:sz w:val="24"/>
          <w:szCs w:val="24"/>
        </w:rPr>
      </w:pPr>
      <w:r w:rsidRPr="00B6765D">
        <w:rPr>
          <w:sz w:val="24"/>
          <w:szCs w:val="24"/>
        </w:rPr>
        <w:t xml:space="preserve">Teaching staff have the following characteristics: </w:t>
      </w:r>
    </w:p>
    <w:p w:rsidR="0035244A" w:rsidRPr="00B6765D" w:rsidRDefault="0035244A" w:rsidP="0035244A">
      <w:pPr>
        <w:pStyle w:val="ListParagraph"/>
        <w:numPr>
          <w:ilvl w:val="0"/>
          <w:numId w:val="24"/>
        </w:numPr>
        <w:spacing w:after="160" w:line="259" w:lineRule="auto"/>
        <w:jc w:val="both"/>
        <w:rPr>
          <w:b/>
          <w:sz w:val="24"/>
          <w:szCs w:val="24"/>
        </w:rPr>
      </w:pPr>
      <w:r w:rsidRPr="00DD6769">
        <w:rPr>
          <w:sz w:val="24"/>
          <w:szCs w:val="24"/>
        </w:rPr>
        <w:t>93%</w:t>
      </w:r>
      <w:r w:rsidRPr="00B6765D">
        <w:rPr>
          <w:sz w:val="24"/>
          <w:szCs w:val="24"/>
        </w:rPr>
        <w:t xml:space="preserve"> are female</w:t>
      </w:r>
    </w:p>
    <w:p w:rsidR="0035244A" w:rsidRPr="00B6765D" w:rsidRDefault="0035244A" w:rsidP="0035244A">
      <w:pPr>
        <w:pStyle w:val="ListParagraph"/>
        <w:numPr>
          <w:ilvl w:val="0"/>
          <w:numId w:val="24"/>
        </w:numPr>
        <w:spacing w:after="160" w:line="259" w:lineRule="auto"/>
        <w:jc w:val="both"/>
        <w:rPr>
          <w:b/>
          <w:sz w:val="24"/>
          <w:szCs w:val="24"/>
        </w:rPr>
      </w:pPr>
      <w:r w:rsidRPr="00B6765D">
        <w:rPr>
          <w:sz w:val="24"/>
          <w:szCs w:val="24"/>
        </w:rPr>
        <w:t>None are registered as non-white British</w:t>
      </w:r>
    </w:p>
    <w:p w:rsidR="0035244A" w:rsidRPr="00B6765D" w:rsidRDefault="0035244A" w:rsidP="0035244A">
      <w:pPr>
        <w:pStyle w:val="ListParagraph"/>
        <w:numPr>
          <w:ilvl w:val="0"/>
          <w:numId w:val="24"/>
        </w:numPr>
        <w:spacing w:after="160" w:line="259" w:lineRule="auto"/>
        <w:jc w:val="both"/>
        <w:rPr>
          <w:b/>
          <w:sz w:val="24"/>
          <w:szCs w:val="24"/>
        </w:rPr>
      </w:pPr>
      <w:r w:rsidRPr="00B6765D">
        <w:rPr>
          <w:sz w:val="24"/>
          <w:szCs w:val="24"/>
        </w:rPr>
        <w:t>1 have a registered disability</w:t>
      </w:r>
    </w:p>
    <w:p w:rsidR="0035244A" w:rsidRPr="00B6765D" w:rsidRDefault="0035244A" w:rsidP="0035244A">
      <w:pPr>
        <w:pStyle w:val="ListParagraph"/>
        <w:numPr>
          <w:ilvl w:val="0"/>
          <w:numId w:val="24"/>
        </w:numPr>
        <w:spacing w:after="160" w:line="259" w:lineRule="auto"/>
        <w:jc w:val="both"/>
        <w:rPr>
          <w:b/>
          <w:sz w:val="24"/>
          <w:szCs w:val="24"/>
        </w:rPr>
      </w:pPr>
      <w:r w:rsidRPr="00B6765D">
        <w:rPr>
          <w:sz w:val="24"/>
          <w:szCs w:val="24"/>
        </w:rPr>
        <w:t>None have declared themselves as gender re-assigned or homosexual.</w:t>
      </w:r>
    </w:p>
    <w:p w:rsidR="0035244A" w:rsidRPr="00B6765D" w:rsidRDefault="0035244A" w:rsidP="0035244A">
      <w:pPr>
        <w:pStyle w:val="ListParagraph"/>
        <w:numPr>
          <w:ilvl w:val="0"/>
          <w:numId w:val="24"/>
        </w:numPr>
        <w:spacing w:after="160" w:line="259" w:lineRule="auto"/>
        <w:jc w:val="both"/>
        <w:rPr>
          <w:b/>
          <w:sz w:val="24"/>
          <w:szCs w:val="24"/>
        </w:rPr>
      </w:pPr>
      <w:r w:rsidRPr="00B6765D">
        <w:rPr>
          <w:sz w:val="24"/>
          <w:szCs w:val="24"/>
        </w:rPr>
        <w:t xml:space="preserve">79% Have an age range of 30 to 57 </w:t>
      </w:r>
    </w:p>
    <w:p w:rsidR="0035244A" w:rsidRPr="00B6765D" w:rsidRDefault="0035244A" w:rsidP="0035244A">
      <w:pPr>
        <w:jc w:val="both"/>
        <w:rPr>
          <w:sz w:val="24"/>
          <w:szCs w:val="24"/>
        </w:rPr>
      </w:pPr>
      <w:r w:rsidRPr="00B6765D">
        <w:rPr>
          <w:sz w:val="24"/>
          <w:szCs w:val="24"/>
        </w:rPr>
        <w:t xml:space="preserve">Non- teaching staff have the following characteristics: </w:t>
      </w:r>
    </w:p>
    <w:p w:rsidR="0035244A" w:rsidRPr="00B6765D" w:rsidRDefault="0035244A" w:rsidP="0035244A">
      <w:pPr>
        <w:pStyle w:val="ListParagraph"/>
        <w:numPr>
          <w:ilvl w:val="0"/>
          <w:numId w:val="24"/>
        </w:numPr>
        <w:spacing w:after="160" w:line="259" w:lineRule="auto"/>
        <w:jc w:val="both"/>
        <w:rPr>
          <w:b/>
          <w:sz w:val="24"/>
          <w:szCs w:val="24"/>
        </w:rPr>
      </w:pPr>
      <w:r w:rsidRPr="00B6765D">
        <w:rPr>
          <w:sz w:val="24"/>
          <w:szCs w:val="24"/>
        </w:rPr>
        <w:t>94% are female</w:t>
      </w:r>
    </w:p>
    <w:p w:rsidR="0035244A" w:rsidRPr="00B6765D" w:rsidRDefault="0035244A" w:rsidP="0035244A">
      <w:pPr>
        <w:pStyle w:val="ListParagraph"/>
        <w:numPr>
          <w:ilvl w:val="0"/>
          <w:numId w:val="24"/>
        </w:numPr>
        <w:spacing w:after="160" w:line="259" w:lineRule="auto"/>
        <w:jc w:val="both"/>
        <w:rPr>
          <w:b/>
          <w:sz w:val="24"/>
          <w:szCs w:val="24"/>
        </w:rPr>
      </w:pPr>
      <w:r w:rsidRPr="00B6765D">
        <w:rPr>
          <w:sz w:val="24"/>
          <w:szCs w:val="24"/>
        </w:rPr>
        <w:t>None are registered as non-white British</w:t>
      </w:r>
    </w:p>
    <w:p w:rsidR="0035244A" w:rsidRPr="00B6765D" w:rsidRDefault="00E705A1" w:rsidP="0035244A">
      <w:pPr>
        <w:pStyle w:val="ListParagraph"/>
        <w:numPr>
          <w:ilvl w:val="0"/>
          <w:numId w:val="24"/>
        </w:numPr>
        <w:spacing w:after="160" w:line="259" w:lineRule="auto"/>
        <w:jc w:val="both"/>
        <w:rPr>
          <w:b/>
          <w:sz w:val="24"/>
          <w:szCs w:val="24"/>
        </w:rPr>
      </w:pPr>
      <w:r>
        <w:rPr>
          <w:sz w:val="24"/>
          <w:szCs w:val="24"/>
        </w:rPr>
        <w:t>None</w:t>
      </w:r>
      <w:r w:rsidR="0035244A" w:rsidRPr="00B6765D">
        <w:rPr>
          <w:sz w:val="24"/>
          <w:szCs w:val="24"/>
        </w:rPr>
        <w:t xml:space="preserve"> have a registered disability </w:t>
      </w:r>
    </w:p>
    <w:p w:rsidR="0035244A" w:rsidRPr="00B6765D" w:rsidRDefault="0035244A" w:rsidP="0035244A">
      <w:pPr>
        <w:pStyle w:val="ListParagraph"/>
        <w:numPr>
          <w:ilvl w:val="0"/>
          <w:numId w:val="24"/>
        </w:numPr>
        <w:spacing w:after="160" w:line="259" w:lineRule="auto"/>
        <w:jc w:val="both"/>
        <w:rPr>
          <w:b/>
          <w:sz w:val="24"/>
          <w:szCs w:val="24"/>
        </w:rPr>
      </w:pPr>
      <w:r w:rsidRPr="00B6765D">
        <w:rPr>
          <w:sz w:val="24"/>
          <w:szCs w:val="24"/>
        </w:rPr>
        <w:t>None have declared themselves as gender re-assigned or homosexual.</w:t>
      </w:r>
    </w:p>
    <w:p w:rsidR="0035244A" w:rsidRPr="00B6765D" w:rsidRDefault="0035244A" w:rsidP="0035244A">
      <w:pPr>
        <w:pStyle w:val="ListParagraph"/>
        <w:numPr>
          <w:ilvl w:val="0"/>
          <w:numId w:val="24"/>
        </w:numPr>
        <w:spacing w:after="160" w:line="259" w:lineRule="auto"/>
        <w:jc w:val="both"/>
        <w:rPr>
          <w:b/>
          <w:sz w:val="24"/>
          <w:szCs w:val="24"/>
        </w:rPr>
      </w:pPr>
      <w:r w:rsidRPr="00B6765D">
        <w:rPr>
          <w:sz w:val="24"/>
          <w:szCs w:val="24"/>
        </w:rPr>
        <w:t>78% Have an age range of 32 to 58.</w:t>
      </w:r>
    </w:p>
    <w:p w:rsidR="0035244A" w:rsidRPr="00B6765D" w:rsidRDefault="0035244A" w:rsidP="0035244A">
      <w:pPr>
        <w:jc w:val="both"/>
        <w:rPr>
          <w:sz w:val="24"/>
          <w:szCs w:val="24"/>
        </w:rPr>
      </w:pPr>
      <w:r w:rsidRPr="00B6765D">
        <w:rPr>
          <w:b/>
          <w:sz w:val="24"/>
          <w:szCs w:val="24"/>
        </w:rPr>
        <w:t>Qualitative information</w:t>
      </w:r>
      <w:r w:rsidRPr="00B6765D">
        <w:rPr>
          <w:sz w:val="24"/>
          <w:szCs w:val="24"/>
        </w:rPr>
        <w:t xml:space="preserve"> </w:t>
      </w:r>
    </w:p>
    <w:p w:rsidR="0035244A" w:rsidRPr="00B6765D" w:rsidRDefault="0035244A" w:rsidP="00065D1E">
      <w:pPr>
        <w:spacing w:after="120"/>
        <w:jc w:val="both"/>
        <w:rPr>
          <w:sz w:val="24"/>
          <w:szCs w:val="24"/>
        </w:rPr>
      </w:pPr>
      <w:r w:rsidRPr="00B6765D">
        <w:rPr>
          <w:sz w:val="24"/>
          <w:szCs w:val="24"/>
        </w:rPr>
        <w:t xml:space="preserve">The school has published various policies on the school’s internet site. These policies evidence the school’s commitment to the principles outlined in this policy and the public sector equality duty. </w:t>
      </w:r>
    </w:p>
    <w:p w:rsidR="00DD6769" w:rsidRDefault="00DD6769" w:rsidP="00065D1E">
      <w:pPr>
        <w:spacing w:after="120"/>
        <w:rPr>
          <w:b/>
          <w:sz w:val="24"/>
          <w:szCs w:val="24"/>
        </w:rPr>
      </w:pPr>
    </w:p>
    <w:p w:rsidR="0035244A" w:rsidRPr="00B6765D" w:rsidRDefault="0035244A" w:rsidP="00065D1E">
      <w:pPr>
        <w:spacing w:after="120"/>
        <w:rPr>
          <w:b/>
          <w:sz w:val="24"/>
          <w:szCs w:val="24"/>
        </w:rPr>
      </w:pPr>
      <w:r w:rsidRPr="00B6765D">
        <w:rPr>
          <w:b/>
          <w:sz w:val="24"/>
          <w:szCs w:val="24"/>
        </w:rPr>
        <w:t xml:space="preserve">Date of publication of this appendix: February 2019 </w:t>
      </w:r>
    </w:p>
    <w:p w:rsidR="0035244A" w:rsidRPr="00B6765D" w:rsidRDefault="0035244A" w:rsidP="00065D1E">
      <w:pPr>
        <w:spacing w:after="120"/>
        <w:rPr>
          <w:b/>
          <w:sz w:val="24"/>
          <w:szCs w:val="24"/>
        </w:rPr>
      </w:pPr>
      <w:r w:rsidRPr="00B6765D">
        <w:rPr>
          <w:b/>
          <w:sz w:val="24"/>
          <w:szCs w:val="24"/>
        </w:rPr>
        <w:t>Date for review and re-publication: February 2020</w:t>
      </w:r>
    </w:p>
    <w:p w:rsidR="00DD6769" w:rsidRDefault="00DD6769" w:rsidP="0035244A">
      <w:pPr>
        <w:jc w:val="both"/>
        <w:rPr>
          <w:i/>
          <w:sz w:val="24"/>
          <w:szCs w:val="24"/>
        </w:rPr>
      </w:pPr>
    </w:p>
    <w:p w:rsidR="0035244A" w:rsidRPr="00B6765D" w:rsidRDefault="0035244A" w:rsidP="0035244A">
      <w:pPr>
        <w:jc w:val="both"/>
        <w:rPr>
          <w:i/>
          <w:sz w:val="24"/>
          <w:szCs w:val="24"/>
        </w:rPr>
      </w:pPr>
      <w:r w:rsidRPr="00B6765D">
        <w:rPr>
          <w:i/>
          <w:sz w:val="24"/>
          <w:szCs w:val="24"/>
        </w:rPr>
        <w:t>NOTE: The Equality Act 2010 (Specific Duties) Regulations 2011 require Governing Bodies to publish equality information on an annual basis</w:t>
      </w:r>
    </w:p>
    <w:p w:rsidR="0035244A" w:rsidRPr="00B6765D" w:rsidRDefault="0035244A" w:rsidP="0035244A">
      <w:pPr>
        <w:jc w:val="right"/>
        <w:rPr>
          <w:b/>
          <w:sz w:val="24"/>
          <w:szCs w:val="24"/>
        </w:rPr>
      </w:pPr>
    </w:p>
    <w:p w:rsidR="0035244A" w:rsidRPr="00B6765D" w:rsidRDefault="0035244A" w:rsidP="0035244A">
      <w:pPr>
        <w:jc w:val="right"/>
        <w:rPr>
          <w:b/>
          <w:sz w:val="24"/>
          <w:szCs w:val="24"/>
        </w:rPr>
      </w:pPr>
    </w:p>
    <w:p w:rsidR="003C2D60" w:rsidRDefault="003C2D60">
      <w:pPr>
        <w:rPr>
          <w:b/>
          <w:sz w:val="24"/>
          <w:szCs w:val="24"/>
        </w:rPr>
      </w:pPr>
      <w:r>
        <w:rPr>
          <w:b/>
          <w:sz w:val="24"/>
          <w:szCs w:val="24"/>
        </w:rPr>
        <w:br w:type="page"/>
      </w:r>
    </w:p>
    <w:p w:rsidR="0035244A" w:rsidRPr="00B6765D" w:rsidRDefault="0035244A" w:rsidP="0035244A">
      <w:pPr>
        <w:jc w:val="right"/>
        <w:rPr>
          <w:b/>
          <w:sz w:val="24"/>
          <w:szCs w:val="24"/>
        </w:rPr>
      </w:pPr>
      <w:r w:rsidRPr="00B6765D">
        <w:rPr>
          <w:b/>
          <w:sz w:val="24"/>
          <w:szCs w:val="24"/>
        </w:rPr>
        <w:t>Appendix B</w:t>
      </w:r>
    </w:p>
    <w:p w:rsidR="0035244A" w:rsidRPr="00B6765D" w:rsidRDefault="0035244A" w:rsidP="0035244A">
      <w:pPr>
        <w:jc w:val="both"/>
        <w:rPr>
          <w:sz w:val="24"/>
          <w:szCs w:val="24"/>
        </w:rPr>
      </w:pPr>
      <w:r w:rsidRPr="00B6765D">
        <w:rPr>
          <w:b/>
          <w:sz w:val="24"/>
          <w:szCs w:val="24"/>
        </w:rPr>
        <w:t>Equality Objectives</w:t>
      </w:r>
      <w:r w:rsidRPr="00B6765D">
        <w:rPr>
          <w:sz w:val="24"/>
          <w:szCs w:val="24"/>
        </w:rPr>
        <w:t xml:space="preserve"> </w:t>
      </w:r>
    </w:p>
    <w:p w:rsidR="0035244A" w:rsidRPr="00B6765D" w:rsidRDefault="0035244A" w:rsidP="0035244A">
      <w:pPr>
        <w:jc w:val="both"/>
        <w:rPr>
          <w:sz w:val="24"/>
          <w:szCs w:val="24"/>
        </w:rPr>
      </w:pPr>
      <w:r w:rsidRPr="00B6765D">
        <w:rPr>
          <w:sz w:val="24"/>
          <w:szCs w:val="24"/>
        </w:rPr>
        <w:t>We recognise that the public sector equality duty has three aims, to:</w:t>
      </w:r>
    </w:p>
    <w:p w:rsidR="0035244A" w:rsidRPr="00B6765D" w:rsidRDefault="0035244A" w:rsidP="0035244A">
      <w:pPr>
        <w:pStyle w:val="ListParagraph"/>
        <w:numPr>
          <w:ilvl w:val="0"/>
          <w:numId w:val="24"/>
        </w:numPr>
        <w:spacing w:after="160" w:line="259" w:lineRule="auto"/>
        <w:jc w:val="both"/>
        <w:rPr>
          <w:b/>
          <w:i/>
          <w:sz w:val="24"/>
          <w:szCs w:val="24"/>
        </w:rPr>
      </w:pPr>
      <w:r w:rsidRPr="00B6765D">
        <w:rPr>
          <w:sz w:val="24"/>
          <w:szCs w:val="24"/>
        </w:rPr>
        <w:t>eliminate unlawful discrimination, harassment and victimisation and other conduct under the Act</w:t>
      </w:r>
    </w:p>
    <w:p w:rsidR="0035244A" w:rsidRPr="00B6765D" w:rsidRDefault="0035244A" w:rsidP="0035244A">
      <w:pPr>
        <w:pStyle w:val="ListParagraph"/>
        <w:numPr>
          <w:ilvl w:val="0"/>
          <w:numId w:val="24"/>
        </w:numPr>
        <w:spacing w:after="160" w:line="259" w:lineRule="auto"/>
        <w:jc w:val="both"/>
        <w:rPr>
          <w:b/>
          <w:i/>
          <w:sz w:val="24"/>
          <w:szCs w:val="24"/>
        </w:rPr>
      </w:pPr>
      <w:r w:rsidRPr="00B6765D">
        <w:rPr>
          <w:sz w:val="24"/>
          <w:szCs w:val="24"/>
        </w:rPr>
        <w:t>advance equality of opportunity between people who share a protected characteristic and those who do not</w:t>
      </w:r>
    </w:p>
    <w:p w:rsidR="0035244A" w:rsidRPr="00B6765D" w:rsidRDefault="0035244A" w:rsidP="0035244A">
      <w:pPr>
        <w:pStyle w:val="ListParagraph"/>
        <w:numPr>
          <w:ilvl w:val="0"/>
          <w:numId w:val="24"/>
        </w:numPr>
        <w:spacing w:after="160" w:line="259" w:lineRule="auto"/>
        <w:jc w:val="both"/>
        <w:rPr>
          <w:b/>
          <w:i/>
          <w:sz w:val="24"/>
          <w:szCs w:val="24"/>
        </w:rPr>
      </w:pPr>
      <w:r w:rsidRPr="00B6765D">
        <w:rPr>
          <w:sz w:val="24"/>
          <w:szCs w:val="24"/>
        </w:rPr>
        <w:t xml:space="preserve">foster good relations between people who share a protected characteristic and those who do not </w:t>
      </w:r>
    </w:p>
    <w:p w:rsidR="0035244A" w:rsidRPr="00B6765D" w:rsidRDefault="0035244A" w:rsidP="00065D1E">
      <w:pPr>
        <w:spacing w:after="120"/>
        <w:jc w:val="both"/>
        <w:rPr>
          <w:sz w:val="24"/>
          <w:szCs w:val="24"/>
        </w:rPr>
      </w:pPr>
      <w:r w:rsidRPr="00B6765D">
        <w:rPr>
          <w:sz w:val="24"/>
          <w:szCs w:val="24"/>
        </w:rPr>
        <w:t>We have considered how well we currently achieve these aims with regard to the protected groups under the Equality Act (race, disability, gender, gender re-assignment, age, pregnancy and maternity, marital status, sexual orientation, religion and belief and sexual orientation). Having referred to and analysed our equality information</w:t>
      </w:r>
      <w:r w:rsidR="00065D1E">
        <w:rPr>
          <w:sz w:val="24"/>
          <w:szCs w:val="24"/>
        </w:rPr>
        <w:t>.</w:t>
      </w:r>
    </w:p>
    <w:p w:rsidR="0035244A" w:rsidRPr="00B6765D" w:rsidRDefault="0035244A" w:rsidP="0035244A">
      <w:pPr>
        <w:jc w:val="both"/>
        <w:rPr>
          <w:b/>
          <w:sz w:val="24"/>
          <w:szCs w:val="24"/>
        </w:rPr>
      </w:pPr>
      <w:r w:rsidRPr="00B6765D">
        <w:rPr>
          <w:b/>
          <w:sz w:val="24"/>
          <w:szCs w:val="24"/>
        </w:rPr>
        <w:t xml:space="preserve">We have set ourselves the following objective(s): </w:t>
      </w:r>
    </w:p>
    <w:p w:rsidR="0035244A" w:rsidRDefault="0035244A" w:rsidP="00065D1E">
      <w:pPr>
        <w:spacing w:after="120"/>
        <w:jc w:val="both"/>
        <w:rPr>
          <w:sz w:val="24"/>
          <w:szCs w:val="24"/>
        </w:rPr>
      </w:pPr>
      <w:r w:rsidRPr="00B6765D">
        <w:rPr>
          <w:b/>
          <w:i/>
          <w:sz w:val="24"/>
          <w:szCs w:val="24"/>
        </w:rPr>
        <w:t>Objective:</w:t>
      </w:r>
      <w:r w:rsidRPr="00B6765D">
        <w:rPr>
          <w:sz w:val="24"/>
          <w:szCs w:val="24"/>
        </w:rPr>
        <w:t xml:space="preserve"> To ensure attainment at the end of each key stage (Foundation and Key Stage 1) narrows the gap between school and national averages and between boys and Girls.</w:t>
      </w:r>
    </w:p>
    <w:p w:rsidR="00065D1E" w:rsidRPr="00B6765D" w:rsidRDefault="00065D1E" w:rsidP="00065D1E">
      <w:pPr>
        <w:spacing w:after="120"/>
        <w:jc w:val="both"/>
        <w:rPr>
          <w:b/>
          <w:i/>
          <w:sz w:val="24"/>
          <w:szCs w:val="24"/>
        </w:rPr>
      </w:pPr>
    </w:p>
    <w:p w:rsidR="0035244A" w:rsidRPr="00B6765D" w:rsidRDefault="0035244A" w:rsidP="0035244A">
      <w:pPr>
        <w:jc w:val="both"/>
        <w:rPr>
          <w:sz w:val="24"/>
          <w:szCs w:val="24"/>
        </w:rPr>
      </w:pPr>
      <w:r w:rsidRPr="00B6765D">
        <w:rPr>
          <w:b/>
          <w:sz w:val="24"/>
          <w:szCs w:val="24"/>
        </w:rPr>
        <w:t>Date of publication:</w:t>
      </w:r>
      <w:r w:rsidRPr="00B6765D">
        <w:rPr>
          <w:sz w:val="24"/>
          <w:szCs w:val="24"/>
        </w:rPr>
        <w:t xml:space="preserve"> </w:t>
      </w:r>
    </w:p>
    <w:p w:rsidR="0035244A" w:rsidRDefault="0035244A" w:rsidP="0035244A">
      <w:pPr>
        <w:jc w:val="both"/>
        <w:rPr>
          <w:sz w:val="24"/>
          <w:szCs w:val="24"/>
        </w:rPr>
      </w:pPr>
      <w:r w:rsidRPr="00B6765D">
        <w:rPr>
          <w:sz w:val="24"/>
          <w:szCs w:val="24"/>
        </w:rPr>
        <w:t xml:space="preserve">February 2019 </w:t>
      </w:r>
    </w:p>
    <w:p w:rsidR="00065D1E" w:rsidRDefault="00065D1E" w:rsidP="0035244A">
      <w:pPr>
        <w:jc w:val="both"/>
        <w:rPr>
          <w:sz w:val="24"/>
          <w:szCs w:val="24"/>
        </w:rPr>
      </w:pPr>
    </w:p>
    <w:p w:rsidR="00065D1E" w:rsidRPr="00B6765D" w:rsidRDefault="00065D1E" w:rsidP="0035244A">
      <w:pPr>
        <w:jc w:val="both"/>
        <w:rPr>
          <w:sz w:val="24"/>
          <w:szCs w:val="24"/>
        </w:rPr>
      </w:pPr>
    </w:p>
    <w:p w:rsidR="0035244A" w:rsidRPr="00B6765D" w:rsidRDefault="0035244A" w:rsidP="0035244A">
      <w:pPr>
        <w:jc w:val="both"/>
        <w:rPr>
          <w:sz w:val="24"/>
          <w:szCs w:val="24"/>
        </w:rPr>
      </w:pPr>
      <w:r w:rsidRPr="00B6765D">
        <w:rPr>
          <w:b/>
          <w:sz w:val="24"/>
          <w:szCs w:val="24"/>
        </w:rPr>
        <w:t>Date for review and re-publication:</w:t>
      </w:r>
      <w:r w:rsidRPr="00B6765D">
        <w:rPr>
          <w:sz w:val="24"/>
          <w:szCs w:val="24"/>
        </w:rPr>
        <w:t xml:space="preserve"> </w:t>
      </w:r>
    </w:p>
    <w:p w:rsidR="0035244A" w:rsidRDefault="0035244A" w:rsidP="0035244A">
      <w:pPr>
        <w:jc w:val="both"/>
        <w:rPr>
          <w:sz w:val="24"/>
          <w:szCs w:val="24"/>
        </w:rPr>
      </w:pPr>
      <w:r w:rsidRPr="00B6765D">
        <w:rPr>
          <w:sz w:val="24"/>
          <w:szCs w:val="24"/>
        </w:rPr>
        <w:t xml:space="preserve">February 2022 </w:t>
      </w:r>
    </w:p>
    <w:p w:rsidR="00065D1E" w:rsidRDefault="00065D1E" w:rsidP="0035244A">
      <w:pPr>
        <w:jc w:val="both"/>
        <w:rPr>
          <w:sz w:val="24"/>
          <w:szCs w:val="24"/>
        </w:rPr>
      </w:pPr>
    </w:p>
    <w:p w:rsidR="00065D1E" w:rsidRPr="00B6765D" w:rsidRDefault="00065D1E" w:rsidP="0035244A">
      <w:pPr>
        <w:jc w:val="both"/>
        <w:rPr>
          <w:sz w:val="24"/>
          <w:szCs w:val="24"/>
        </w:rPr>
      </w:pPr>
    </w:p>
    <w:p w:rsidR="006F6B6F" w:rsidRPr="00B6765D" w:rsidRDefault="0035244A" w:rsidP="0035244A">
      <w:pPr>
        <w:autoSpaceDE w:val="0"/>
        <w:autoSpaceDN w:val="0"/>
        <w:adjustRightInd w:val="0"/>
        <w:jc w:val="both"/>
        <w:rPr>
          <w:rFonts w:ascii="Arial" w:hAnsi="Arial" w:cs="Arial"/>
          <w:sz w:val="24"/>
          <w:szCs w:val="24"/>
        </w:rPr>
      </w:pPr>
      <w:r w:rsidRPr="00B6765D">
        <w:rPr>
          <w:i/>
          <w:sz w:val="24"/>
          <w:szCs w:val="24"/>
        </w:rPr>
        <w:t>NOTE: The Equality Act 2010 (Specific Duties) Regulations 2011 require Governing Bodies to publish equality objectives at intervals of no more than four years but schools should publish detail on progress towards these objectives on an annual basis an</w:t>
      </w:r>
    </w:p>
    <w:sectPr w:rsidR="006F6B6F" w:rsidRPr="00B6765D" w:rsidSect="00E801C6">
      <w:footerReference w:type="default" r:id="rId8"/>
      <w:pgSz w:w="11906" w:h="16838"/>
      <w:pgMar w:top="851" w:right="851" w:bottom="851" w:left="851" w:header="709" w:footer="709" w:gutter="0"/>
      <w:pgBorders w:display="firstPage" w:offsetFrom="page">
        <w:top w:val="thinThickSmallGap" w:sz="24" w:space="24" w:color="C00000"/>
        <w:left w:val="thinThickSmallGap" w:sz="24" w:space="24" w:color="C00000"/>
        <w:bottom w:val="thickThinSmallGap" w:sz="24" w:space="24" w:color="C00000"/>
        <w:right w:val="thickThinSmallGap" w:sz="2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175" w:rsidRDefault="00B93175" w:rsidP="002009AA">
      <w:r>
        <w:separator/>
      </w:r>
    </w:p>
  </w:endnote>
  <w:endnote w:type="continuationSeparator" w:id="0">
    <w:p w:rsidR="00B93175" w:rsidRDefault="00B93175" w:rsidP="0020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961106"/>
      <w:docPartObj>
        <w:docPartGallery w:val="Page Numbers (Bottom of Page)"/>
        <w:docPartUnique/>
      </w:docPartObj>
    </w:sdtPr>
    <w:sdtEndPr>
      <w:rPr>
        <w:noProof/>
      </w:rPr>
    </w:sdtEndPr>
    <w:sdtContent>
      <w:p w:rsidR="00B93175" w:rsidRDefault="00B93175">
        <w:pPr>
          <w:pStyle w:val="Footer"/>
          <w:jc w:val="right"/>
        </w:pPr>
        <w:r>
          <w:fldChar w:fldCharType="begin"/>
        </w:r>
        <w:r>
          <w:instrText xml:space="preserve"> PAGE   \* MERGEFORMAT </w:instrText>
        </w:r>
        <w:r>
          <w:fldChar w:fldCharType="separate"/>
        </w:r>
        <w:r w:rsidR="00ED71C7">
          <w:rPr>
            <w:noProof/>
          </w:rPr>
          <w:t>7</w:t>
        </w:r>
        <w:r>
          <w:rPr>
            <w:noProof/>
          </w:rPr>
          <w:fldChar w:fldCharType="end"/>
        </w:r>
      </w:p>
    </w:sdtContent>
  </w:sdt>
  <w:p w:rsidR="00B93175" w:rsidRDefault="00B93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175" w:rsidRDefault="00B93175" w:rsidP="002009AA">
      <w:r>
        <w:separator/>
      </w:r>
    </w:p>
  </w:footnote>
  <w:footnote w:type="continuationSeparator" w:id="0">
    <w:p w:rsidR="00B93175" w:rsidRDefault="00B93175" w:rsidP="00200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8F7"/>
    <w:multiLevelType w:val="hybridMultilevel"/>
    <w:tmpl w:val="B99C1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B5C98"/>
    <w:multiLevelType w:val="hybridMultilevel"/>
    <w:tmpl w:val="F3C8D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A574C7"/>
    <w:multiLevelType w:val="hybridMultilevel"/>
    <w:tmpl w:val="82C0672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02439"/>
    <w:multiLevelType w:val="hybridMultilevel"/>
    <w:tmpl w:val="9C6A3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9252E"/>
    <w:multiLevelType w:val="hybridMultilevel"/>
    <w:tmpl w:val="02D868E8"/>
    <w:lvl w:ilvl="0" w:tplc="8D7A1432">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98091A"/>
    <w:multiLevelType w:val="hybridMultilevel"/>
    <w:tmpl w:val="A152366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CD5C25"/>
    <w:multiLevelType w:val="hybridMultilevel"/>
    <w:tmpl w:val="99C0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04312"/>
    <w:multiLevelType w:val="hybridMultilevel"/>
    <w:tmpl w:val="7E609A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AB0AF1"/>
    <w:multiLevelType w:val="hybridMultilevel"/>
    <w:tmpl w:val="C26AE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46491E"/>
    <w:multiLevelType w:val="hybridMultilevel"/>
    <w:tmpl w:val="AAB0CF12"/>
    <w:lvl w:ilvl="0" w:tplc="F0047352">
      <w:start w:val="1"/>
      <w:numFmt w:val="bullet"/>
      <w:lvlText w:val="•"/>
      <w:lvlJc w:val="left"/>
      <w:pPr>
        <w:tabs>
          <w:tab w:val="num" w:pos="-2136"/>
        </w:tabs>
        <w:ind w:left="-2136" w:hanging="360"/>
      </w:pPr>
      <w:rPr>
        <w:rFonts w:ascii="Times New Roman" w:hAnsi="Times New Roman" w:cs="Times New Roman" w:hint="default"/>
        <w:color w:val="auto"/>
      </w:rPr>
    </w:lvl>
    <w:lvl w:ilvl="1" w:tplc="04090003" w:tentative="1">
      <w:start w:val="1"/>
      <w:numFmt w:val="bullet"/>
      <w:lvlText w:val="o"/>
      <w:lvlJc w:val="left"/>
      <w:pPr>
        <w:tabs>
          <w:tab w:val="num" w:pos="-1416"/>
        </w:tabs>
        <w:ind w:left="-1416" w:hanging="360"/>
      </w:pPr>
      <w:rPr>
        <w:rFonts w:ascii="Courier New" w:hAnsi="Courier New" w:cs="Courier New" w:hint="default"/>
      </w:rPr>
    </w:lvl>
    <w:lvl w:ilvl="2" w:tplc="04090005" w:tentative="1">
      <w:start w:val="1"/>
      <w:numFmt w:val="bullet"/>
      <w:lvlText w:val=""/>
      <w:lvlJc w:val="left"/>
      <w:pPr>
        <w:tabs>
          <w:tab w:val="num" w:pos="-696"/>
        </w:tabs>
        <w:ind w:left="-696" w:hanging="360"/>
      </w:pPr>
      <w:rPr>
        <w:rFonts w:ascii="Wingdings" w:hAnsi="Wingdings" w:hint="default"/>
      </w:rPr>
    </w:lvl>
    <w:lvl w:ilvl="3" w:tplc="04090001" w:tentative="1">
      <w:start w:val="1"/>
      <w:numFmt w:val="bullet"/>
      <w:lvlText w:val=""/>
      <w:lvlJc w:val="left"/>
      <w:pPr>
        <w:tabs>
          <w:tab w:val="num" w:pos="24"/>
        </w:tabs>
        <w:ind w:left="24" w:hanging="360"/>
      </w:pPr>
      <w:rPr>
        <w:rFonts w:ascii="Symbol" w:hAnsi="Symbol" w:hint="default"/>
      </w:rPr>
    </w:lvl>
    <w:lvl w:ilvl="4" w:tplc="04090003" w:tentative="1">
      <w:start w:val="1"/>
      <w:numFmt w:val="bullet"/>
      <w:lvlText w:val="o"/>
      <w:lvlJc w:val="left"/>
      <w:pPr>
        <w:tabs>
          <w:tab w:val="num" w:pos="744"/>
        </w:tabs>
        <w:ind w:left="744" w:hanging="360"/>
      </w:pPr>
      <w:rPr>
        <w:rFonts w:ascii="Courier New" w:hAnsi="Courier New" w:cs="Courier New" w:hint="default"/>
      </w:rPr>
    </w:lvl>
    <w:lvl w:ilvl="5" w:tplc="04090005" w:tentative="1">
      <w:start w:val="1"/>
      <w:numFmt w:val="bullet"/>
      <w:lvlText w:val=""/>
      <w:lvlJc w:val="left"/>
      <w:pPr>
        <w:tabs>
          <w:tab w:val="num" w:pos="1464"/>
        </w:tabs>
        <w:ind w:left="1464" w:hanging="360"/>
      </w:pPr>
      <w:rPr>
        <w:rFonts w:ascii="Wingdings" w:hAnsi="Wingdings" w:hint="default"/>
      </w:rPr>
    </w:lvl>
    <w:lvl w:ilvl="6" w:tplc="04090001" w:tentative="1">
      <w:start w:val="1"/>
      <w:numFmt w:val="bullet"/>
      <w:lvlText w:val=""/>
      <w:lvlJc w:val="left"/>
      <w:pPr>
        <w:tabs>
          <w:tab w:val="num" w:pos="2184"/>
        </w:tabs>
        <w:ind w:left="2184" w:hanging="360"/>
      </w:pPr>
      <w:rPr>
        <w:rFonts w:ascii="Symbol" w:hAnsi="Symbol" w:hint="default"/>
      </w:rPr>
    </w:lvl>
    <w:lvl w:ilvl="7" w:tplc="04090003" w:tentative="1">
      <w:start w:val="1"/>
      <w:numFmt w:val="bullet"/>
      <w:lvlText w:val="o"/>
      <w:lvlJc w:val="left"/>
      <w:pPr>
        <w:tabs>
          <w:tab w:val="num" w:pos="2904"/>
        </w:tabs>
        <w:ind w:left="2904" w:hanging="360"/>
      </w:pPr>
      <w:rPr>
        <w:rFonts w:ascii="Courier New" w:hAnsi="Courier New" w:cs="Courier New" w:hint="default"/>
      </w:rPr>
    </w:lvl>
    <w:lvl w:ilvl="8" w:tplc="04090005" w:tentative="1">
      <w:start w:val="1"/>
      <w:numFmt w:val="bullet"/>
      <w:lvlText w:val=""/>
      <w:lvlJc w:val="left"/>
      <w:pPr>
        <w:tabs>
          <w:tab w:val="num" w:pos="3624"/>
        </w:tabs>
        <w:ind w:left="3624" w:hanging="360"/>
      </w:pPr>
      <w:rPr>
        <w:rFonts w:ascii="Wingdings" w:hAnsi="Wingdings" w:hint="default"/>
      </w:rPr>
    </w:lvl>
  </w:abstractNum>
  <w:abstractNum w:abstractNumId="10" w15:restartNumberingAfterBreak="0">
    <w:nsid w:val="4ACD687E"/>
    <w:multiLevelType w:val="hybridMultilevel"/>
    <w:tmpl w:val="22FA2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32EED"/>
    <w:multiLevelType w:val="hybridMultilevel"/>
    <w:tmpl w:val="E4D0B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D97B68"/>
    <w:multiLevelType w:val="hybridMultilevel"/>
    <w:tmpl w:val="8B5230BA"/>
    <w:lvl w:ilvl="0" w:tplc="5E22AE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1149E"/>
    <w:multiLevelType w:val="hybridMultilevel"/>
    <w:tmpl w:val="29A4EF7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FE542B"/>
    <w:multiLevelType w:val="hybridMultilevel"/>
    <w:tmpl w:val="941ECAF0"/>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795331F"/>
    <w:multiLevelType w:val="hybridMultilevel"/>
    <w:tmpl w:val="80E2FA76"/>
    <w:lvl w:ilvl="0" w:tplc="04090001">
      <w:start w:val="1"/>
      <w:numFmt w:val="bullet"/>
      <w:lvlText w:val=""/>
      <w:lvlJc w:val="left"/>
      <w:pPr>
        <w:tabs>
          <w:tab w:val="num" w:pos="-354"/>
        </w:tabs>
        <w:ind w:left="-354" w:hanging="360"/>
      </w:pPr>
      <w:rPr>
        <w:rFonts w:ascii="Symbol" w:hAnsi="Symbol" w:hint="default"/>
      </w:rPr>
    </w:lvl>
    <w:lvl w:ilvl="1" w:tplc="04090003">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6" w15:restartNumberingAfterBreak="0">
    <w:nsid w:val="6373785D"/>
    <w:multiLevelType w:val="hybridMultilevel"/>
    <w:tmpl w:val="06B0F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256518"/>
    <w:multiLevelType w:val="hybridMultilevel"/>
    <w:tmpl w:val="47447A2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A7C6135"/>
    <w:multiLevelType w:val="hybridMultilevel"/>
    <w:tmpl w:val="29389A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592FA5"/>
    <w:multiLevelType w:val="hybridMultilevel"/>
    <w:tmpl w:val="02049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9B14EE"/>
    <w:multiLevelType w:val="hybridMultilevel"/>
    <w:tmpl w:val="5C162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FD3FBC"/>
    <w:multiLevelType w:val="hybridMultilevel"/>
    <w:tmpl w:val="E34EE6EA"/>
    <w:lvl w:ilvl="0" w:tplc="FBE42500">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1A2E58"/>
    <w:multiLevelType w:val="hybridMultilevel"/>
    <w:tmpl w:val="2F58D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8D3226"/>
    <w:multiLevelType w:val="hybridMultilevel"/>
    <w:tmpl w:val="24D6985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4" w15:restartNumberingAfterBreak="0">
    <w:nsid w:val="7E7D4BA1"/>
    <w:multiLevelType w:val="hybridMultilevel"/>
    <w:tmpl w:val="DE949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4"/>
  </w:num>
  <w:num w:numId="4">
    <w:abstractNumId w:val="13"/>
  </w:num>
  <w:num w:numId="5">
    <w:abstractNumId w:val="5"/>
  </w:num>
  <w:num w:numId="6">
    <w:abstractNumId w:val="3"/>
  </w:num>
  <w:num w:numId="7">
    <w:abstractNumId w:val="19"/>
  </w:num>
  <w:num w:numId="8">
    <w:abstractNumId w:val="8"/>
  </w:num>
  <w:num w:numId="9">
    <w:abstractNumId w:val="0"/>
  </w:num>
  <w:num w:numId="10">
    <w:abstractNumId w:val="2"/>
  </w:num>
  <w:num w:numId="11">
    <w:abstractNumId w:val="20"/>
  </w:num>
  <w:num w:numId="12">
    <w:abstractNumId w:val="14"/>
  </w:num>
  <w:num w:numId="13">
    <w:abstractNumId w:val="7"/>
  </w:num>
  <w:num w:numId="14">
    <w:abstractNumId w:val="17"/>
  </w:num>
  <w:num w:numId="15">
    <w:abstractNumId w:val="23"/>
  </w:num>
  <w:num w:numId="16">
    <w:abstractNumId w:val="16"/>
  </w:num>
  <w:num w:numId="17">
    <w:abstractNumId w:val="10"/>
  </w:num>
  <w:num w:numId="18">
    <w:abstractNumId w:val="11"/>
  </w:num>
  <w:num w:numId="19">
    <w:abstractNumId w:val="24"/>
  </w:num>
  <w:num w:numId="20">
    <w:abstractNumId w:val="6"/>
  </w:num>
  <w:num w:numId="21">
    <w:abstractNumId w:val="18"/>
  </w:num>
  <w:num w:numId="22">
    <w:abstractNumId w:val="1"/>
  </w:num>
  <w:num w:numId="23">
    <w:abstractNumId w:val="2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6C"/>
    <w:rsid w:val="00065D1E"/>
    <w:rsid w:val="000979D2"/>
    <w:rsid w:val="0010476C"/>
    <w:rsid w:val="001B4BDF"/>
    <w:rsid w:val="001D67FB"/>
    <w:rsid w:val="002009AA"/>
    <w:rsid w:val="002B1B30"/>
    <w:rsid w:val="0035244A"/>
    <w:rsid w:val="003C2D60"/>
    <w:rsid w:val="003C384C"/>
    <w:rsid w:val="00444AAF"/>
    <w:rsid w:val="004458EA"/>
    <w:rsid w:val="00463077"/>
    <w:rsid w:val="00466ACC"/>
    <w:rsid w:val="004D4371"/>
    <w:rsid w:val="004E255F"/>
    <w:rsid w:val="00500291"/>
    <w:rsid w:val="00521225"/>
    <w:rsid w:val="00593CA2"/>
    <w:rsid w:val="006827B5"/>
    <w:rsid w:val="006F6B6F"/>
    <w:rsid w:val="0076762D"/>
    <w:rsid w:val="007960F7"/>
    <w:rsid w:val="008B3D80"/>
    <w:rsid w:val="00933CED"/>
    <w:rsid w:val="00957795"/>
    <w:rsid w:val="00966FF2"/>
    <w:rsid w:val="009C520C"/>
    <w:rsid w:val="00AF5573"/>
    <w:rsid w:val="00B6765D"/>
    <w:rsid w:val="00B93175"/>
    <w:rsid w:val="00C10681"/>
    <w:rsid w:val="00C512C1"/>
    <w:rsid w:val="00CD4B0C"/>
    <w:rsid w:val="00D20C67"/>
    <w:rsid w:val="00D3344A"/>
    <w:rsid w:val="00D70E1E"/>
    <w:rsid w:val="00D976D6"/>
    <w:rsid w:val="00DD6769"/>
    <w:rsid w:val="00E01CB7"/>
    <w:rsid w:val="00E23759"/>
    <w:rsid w:val="00E454B6"/>
    <w:rsid w:val="00E705A1"/>
    <w:rsid w:val="00E801C6"/>
    <w:rsid w:val="00E92F61"/>
    <w:rsid w:val="00EA3B2C"/>
    <w:rsid w:val="00EB4810"/>
    <w:rsid w:val="00EC0644"/>
    <w:rsid w:val="00ED71C7"/>
    <w:rsid w:val="00EE2244"/>
    <w:rsid w:val="00EF5185"/>
    <w:rsid w:val="00FB0302"/>
    <w:rsid w:val="00FB1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05DCD5"/>
  <w15:chartTrackingRefBased/>
  <w15:docId w15:val="{4869EBF2-EAF1-4772-A91A-22CEE1F6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9AA"/>
    <w:pPr>
      <w:tabs>
        <w:tab w:val="center" w:pos="4513"/>
        <w:tab w:val="right" w:pos="9026"/>
      </w:tabs>
    </w:pPr>
  </w:style>
  <w:style w:type="character" w:customStyle="1" w:styleId="HeaderChar">
    <w:name w:val="Header Char"/>
    <w:basedOn w:val="DefaultParagraphFont"/>
    <w:link w:val="Header"/>
    <w:uiPriority w:val="99"/>
    <w:rsid w:val="002009AA"/>
  </w:style>
  <w:style w:type="paragraph" w:styleId="Footer">
    <w:name w:val="footer"/>
    <w:basedOn w:val="Normal"/>
    <w:link w:val="FooterChar"/>
    <w:uiPriority w:val="99"/>
    <w:unhideWhenUsed/>
    <w:rsid w:val="002009AA"/>
    <w:pPr>
      <w:tabs>
        <w:tab w:val="center" w:pos="4513"/>
        <w:tab w:val="right" w:pos="9026"/>
      </w:tabs>
    </w:pPr>
  </w:style>
  <w:style w:type="character" w:customStyle="1" w:styleId="FooterChar">
    <w:name w:val="Footer Char"/>
    <w:basedOn w:val="DefaultParagraphFont"/>
    <w:link w:val="Footer"/>
    <w:uiPriority w:val="99"/>
    <w:rsid w:val="002009AA"/>
  </w:style>
  <w:style w:type="character" w:styleId="Hyperlink">
    <w:name w:val="Hyperlink"/>
    <w:basedOn w:val="DefaultParagraphFont"/>
    <w:rsid w:val="006827B5"/>
    <w:rPr>
      <w:color w:val="0000FF"/>
      <w:u w:val="single"/>
    </w:rPr>
  </w:style>
  <w:style w:type="paragraph" w:styleId="ListParagraph">
    <w:name w:val="List Paragraph"/>
    <w:basedOn w:val="Normal"/>
    <w:uiPriority w:val="34"/>
    <w:qFormat/>
    <w:rsid w:val="0076762D"/>
    <w:pPr>
      <w:ind w:left="720"/>
      <w:contextualSpacing/>
    </w:pPr>
  </w:style>
  <w:style w:type="paragraph" w:customStyle="1" w:styleId="Default">
    <w:name w:val="Default"/>
    <w:rsid w:val="006F6B6F"/>
    <w:pPr>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39"/>
    <w:rsid w:val="00352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7</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Purbrook Infant School</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Dean</dc:creator>
  <cp:keywords/>
  <dc:description/>
  <cp:lastModifiedBy>N/A</cp:lastModifiedBy>
  <cp:revision>3</cp:revision>
  <dcterms:created xsi:type="dcterms:W3CDTF">2019-02-12T10:02:00Z</dcterms:created>
  <dcterms:modified xsi:type="dcterms:W3CDTF">2019-02-12T14:09:00Z</dcterms:modified>
</cp:coreProperties>
</file>